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14:paraId="32850DF4" w14:textId="77777777" w:rsidR="000976E9" w:rsidRPr="00DD4121" w:rsidRDefault="00D71D99" w:rsidP="00787964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E72BD">
        <w:rPr>
          <w:noProof/>
          <w:szCs w:val="22"/>
        </w:rPr>
        <w:t>philippe muyters</w:t>
      </w:r>
      <w:r>
        <w:rPr>
          <w:szCs w:val="22"/>
        </w:rPr>
        <w:fldChar w:fldCharType="end"/>
      </w:r>
      <w:bookmarkEnd w:id="0"/>
    </w:p>
    <w:bookmarkStart w:id="1" w:name="Text2"/>
    <w:p w14:paraId="35752355" w14:textId="77777777" w:rsidR="000976E9" w:rsidRPr="00015BF7" w:rsidRDefault="00D71D99" w:rsidP="00CE1141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9E72BD">
        <w:t>vlaams minister van financiën, begroting, werk, ruimtelijke ordening en sport</w:t>
      </w:r>
      <w:r>
        <w:fldChar w:fldCharType="end"/>
      </w:r>
      <w:bookmarkEnd w:id="1"/>
    </w:p>
    <w:p w14:paraId="69D9379D" w14:textId="77777777" w:rsidR="000976E9" w:rsidRPr="00015BF7" w:rsidRDefault="000976E9" w:rsidP="000976E9">
      <w:pPr>
        <w:rPr>
          <w:szCs w:val="22"/>
        </w:rPr>
      </w:pPr>
    </w:p>
    <w:p w14:paraId="4D3763AB" w14:textId="77777777" w:rsidR="000976E9" w:rsidRPr="00DB41C0" w:rsidRDefault="000976E9" w:rsidP="000976E9">
      <w:pPr>
        <w:pStyle w:val="A-Lijn"/>
      </w:pPr>
    </w:p>
    <w:p w14:paraId="60F76498" w14:textId="77777777"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DB1462" w14:textId="77777777" w:rsidR="00210C07" w:rsidRDefault="000976E9" w:rsidP="00787964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14:paraId="28A99C11" w14:textId="77777777"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3D76BF">
        <w:rPr>
          <w:b w:val="0"/>
        </w:rPr>
        <w:t>296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3D76BF">
        <w:rPr>
          <w:b w:val="0"/>
        </w:rPr>
        <w:t>22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14:paraId="0DD4EEF4" w14:textId="72922DE0"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8A5E92">
        <w:rPr>
          <w:rStyle w:val="AntwoordNaamMinisterChar"/>
        </w:rPr>
        <w:t>m</w:t>
      </w:r>
      <w:r w:rsidR="003D76BF">
        <w:rPr>
          <w:rStyle w:val="AntwoordNaamMinisterChar"/>
        </w:rPr>
        <w:t xml:space="preserve">ercedes van </w:t>
      </w:r>
      <w:r w:rsidR="008A5E92">
        <w:rPr>
          <w:rStyle w:val="AntwoordNaamMinisterChar"/>
        </w:rPr>
        <w:t>v</w:t>
      </w:r>
      <w:r w:rsidR="003D76BF">
        <w:rPr>
          <w:rStyle w:val="AntwoordNaamMinisterChar"/>
        </w:rPr>
        <w:t>olcem</w:t>
      </w:r>
      <w:r w:rsidR="00D71D99" w:rsidRPr="009D7043">
        <w:rPr>
          <w:rStyle w:val="AntwoordNaamMinisterChar"/>
        </w:rPr>
        <w:fldChar w:fldCharType="end"/>
      </w:r>
    </w:p>
    <w:p w14:paraId="3CDFB1A6" w14:textId="77777777" w:rsidR="00326A58" w:rsidRPr="00015BF7" w:rsidRDefault="00326A58" w:rsidP="000976E9">
      <w:pPr>
        <w:rPr>
          <w:szCs w:val="22"/>
        </w:rPr>
      </w:pPr>
    </w:p>
    <w:p w14:paraId="6CAF112F" w14:textId="77777777" w:rsidR="000976E9" w:rsidRPr="00DB41C0" w:rsidRDefault="000976E9" w:rsidP="000976E9">
      <w:pPr>
        <w:pStyle w:val="A-Lijn"/>
      </w:pPr>
    </w:p>
    <w:p w14:paraId="133316C9" w14:textId="77777777" w:rsidR="000976E9" w:rsidRPr="00DB41C0" w:rsidRDefault="000976E9" w:rsidP="000976E9">
      <w:pPr>
        <w:pStyle w:val="A-Lijn"/>
      </w:pPr>
    </w:p>
    <w:p w14:paraId="29FDE746" w14:textId="77777777"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7DADA5" w14:textId="7505C4D8" w:rsidR="00442914" w:rsidRDefault="00442914" w:rsidP="00442914">
      <w:pPr>
        <w:pStyle w:val="StandaardSV"/>
        <w:numPr>
          <w:ilvl w:val="0"/>
          <w:numId w:val="13"/>
        </w:numPr>
      </w:pPr>
      <w:r>
        <w:lastRenderedPageBreak/>
        <w:t>H</w:t>
      </w:r>
      <w:r w:rsidR="003D76BF">
        <w:t xml:space="preserve">et aantal beroepen dat in 2010 en 2011 ingesteld </w:t>
      </w:r>
      <w:r w:rsidR="0016028E">
        <w:t xml:space="preserve">werd </w:t>
      </w:r>
      <w:r w:rsidR="003D76BF">
        <w:t>door de GSA bij de deputatie</w:t>
      </w:r>
      <w:r w:rsidR="0016028E">
        <w:t xml:space="preserve"> en de Raad voor V</w:t>
      </w:r>
      <w:r w:rsidR="003D76BF">
        <w:t>ergunningsbetwistingen</w:t>
      </w:r>
      <w:r>
        <w:t xml:space="preserve"> werd reeds aangegeven in het antwoord op SV 493 </w:t>
      </w:r>
      <w:r w:rsidRPr="0016028E">
        <w:t>d.d. 22/03/2012</w:t>
      </w:r>
      <w:r>
        <w:t>. Aangevuld met de gegevens voor 2012 geeft dit onderstaande evolutie:</w:t>
      </w:r>
    </w:p>
    <w:p w14:paraId="2A51C3B9" w14:textId="77777777" w:rsidR="003D76BF" w:rsidRDefault="003D76BF" w:rsidP="003D76BF">
      <w:pPr>
        <w:pStyle w:val="StandaardSV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984"/>
        <w:gridCol w:w="1985"/>
      </w:tblGrid>
      <w:tr w:rsidR="003D76BF" w:rsidRPr="005339E8" w14:paraId="5836D172" w14:textId="77777777" w:rsidTr="00442914">
        <w:trPr>
          <w:jc w:val="center"/>
        </w:trPr>
        <w:tc>
          <w:tcPr>
            <w:tcW w:w="817" w:type="dxa"/>
          </w:tcPr>
          <w:p w14:paraId="1DCE5F8F" w14:textId="77777777" w:rsidR="003D76BF" w:rsidRPr="005339E8" w:rsidRDefault="003D76BF" w:rsidP="00522C07">
            <w:pPr>
              <w:pStyle w:val="StandaardSV"/>
              <w:rPr>
                <w:b/>
                <w:szCs w:val="22"/>
              </w:rPr>
            </w:pPr>
          </w:p>
        </w:tc>
        <w:tc>
          <w:tcPr>
            <w:tcW w:w="1984" w:type="dxa"/>
          </w:tcPr>
          <w:p w14:paraId="1134B224" w14:textId="77777777" w:rsidR="003D76BF" w:rsidRPr="005339E8" w:rsidRDefault="003D76BF" w:rsidP="00522C07">
            <w:pPr>
              <w:pStyle w:val="StandaardSV"/>
              <w:jc w:val="center"/>
              <w:rPr>
                <w:b/>
                <w:szCs w:val="22"/>
              </w:rPr>
            </w:pPr>
            <w:r w:rsidRPr="005339E8">
              <w:rPr>
                <w:b/>
                <w:szCs w:val="22"/>
              </w:rPr>
              <w:t>Deputatie</w:t>
            </w:r>
          </w:p>
        </w:tc>
        <w:tc>
          <w:tcPr>
            <w:tcW w:w="1985" w:type="dxa"/>
          </w:tcPr>
          <w:p w14:paraId="2DA2C39B" w14:textId="77777777" w:rsidR="003D76BF" w:rsidRPr="005339E8" w:rsidRDefault="003D76BF" w:rsidP="00522C07">
            <w:pPr>
              <w:pStyle w:val="StandaardSV"/>
              <w:jc w:val="center"/>
              <w:rPr>
                <w:b/>
                <w:szCs w:val="22"/>
              </w:rPr>
            </w:pPr>
            <w:proofErr w:type="spellStart"/>
            <w:r w:rsidRPr="005339E8">
              <w:rPr>
                <w:b/>
                <w:szCs w:val="22"/>
              </w:rPr>
              <w:t>RvVb</w:t>
            </w:r>
            <w:proofErr w:type="spellEnd"/>
          </w:p>
        </w:tc>
      </w:tr>
      <w:tr w:rsidR="003D76BF" w:rsidRPr="005339E8" w14:paraId="64060327" w14:textId="77777777" w:rsidTr="00442914">
        <w:trPr>
          <w:jc w:val="center"/>
        </w:trPr>
        <w:tc>
          <w:tcPr>
            <w:tcW w:w="817" w:type="dxa"/>
          </w:tcPr>
          <w:p w14:paraId="4A0DEED6" w14:textId="77777777" w:rsidR="003D76BF" w:rsidRPr="005339E8" w:rsidRDefault="003D76BF" w:rsidP="00522C07">
            <w:pPr>
              <w:pStyle w:val="StandaardSV"/>
              <w:rPr>
                <w:szCs w:val="22"/>
              </w:rPr>
            </w:pPr>
            <w:r w:rsidRPr="005339E8">
              <w:rPr>
                <w:szCs w:val="22"/>
              </w:rPr>
              <w:t>2010</w:t>
            </w:r>
          </w:p>
        </w:tc>
        <w:tc>
          <w:tcPr>
            <w:tcW w:w="1984" w:type="dxa"/>
            <w:vAlign w:val="center"/>
          </w:tcPr>
          <w:p w14:paraId="13905B37" w14:textId="77777777" w:rsidR="003D76BF" w:rsidRPr="005339E8" w:rsidRDefault="003D76BF" w:rsidP="00522C07">
            <w:pPr>
              <w:jc w:val="center"/>
              <w:rPr>
                <w:bCs/>
                <w:iCs/>
                <w:color w:val="000000"/>
                <w:szCs w:val="22"/>
                <w:lang w:val="nl-BE" w:eastAsia="nl-BE"/>
              </w:rPr>
            </w:pPr>
            <w:r w:rsidRPr="005339E8">
              <w:rPr>
                <w:bCs/>
                <w:iCs/>
                <w:color w:val="000000"/>
                <w:szCs w:val="22"/>
                <w:lang w:val="nl-BE" w:eastAsia="nl-BE"/>
              </w:rPr>
              <w:t>493</w:t>
            </w:r>
          </w:p>
        </w:tc>
        <w:tc>
          <w:tcPr>
            <w:tcW w:w="1985" w:type="dxa"/>
            <w:vAlign w:val="center"/>
          </w:tcPr>
          <w:p w14:paraId="24080DCC" w14:textId="77777777" w:rsidR="003D76BF" w:rsidRPr="005339E8" w:rsidRDefault="003D76BF" w:rsidP="00522C07">
            <w:pPr>
              <w:jc w:val="center"/>
              <w:rPr>
                <w:bCs/>
                <w:iCs/>
                <w:color w:val="000000"/>
                <w:szCs w:val="22"/>
                <w:lang w:val="nl-BE" w:eastAsia="nl-BE"/>
              </w:rPr>
            </w:pPr>
            <w:r w:rsidRPr="005339E8">
              <w:rPr>
                <w:bCs/>
                <w:iCs/>
                <w:color w:val="000000"/>
                <w:szCs w:val="22"/>
                <w:lang w:val="nl-BE" w:eastAsia="nl-BE"/>
              </w:rPr>
              <w:t>188</w:t>
            </w:r>
          </w:p>
        </w:tc>
      </w:tr>
      <w:tr w:rsidR="003D76BF" w:rsidRPr="005339E8" w14:paraId="74BAD2BD" w14:textId="77777777" w:rsidTr="00442914">
        <w:trPr>
          <w:jc w:val="center"/>
        </w:trPr>
        <w:tc>
          <w:tcPr>
            <w:tcW w:w="817" w:type="dxa"/>
          </w:tcPr>
          <w:p w14:paraId="55B3EA46" w14:textId="77777777" w:rsidR="003D76BF" w:rsidRPr="005339E8" w:rsidRDefault="003D76BF" w:rsidP="00522C07">
            <w:pPr>
              <w:pStyle w:val="StandaardSV"/>
              <w:rPr>
                <w:szCs w:val="22"/>
              </w:rPr>
            </w:pPr>
            <w:r w:rsidRPr="005339E8">
              <w:rPr>
                <w:szCs w:val="22"/>
              </w:rPr>
              <w:t>2011</w:t>
            </w:r>
          </w:p>
        </w:tc>
        <w:tc>
          <w:tcPr>
            <w:tcW w:w="1984" w:type="dxa"/>
            <w:vAlign w:val="center"/>
          </w:tcPr>
          <w:p w14:paraId="722F69FA" w14:textId="77777777" w:rsidR="003D76BF" w:rsidRPr="005339E8" w:rsidRDefault="003D76BF" w:rsidP="00522C07">
            <w:pPr>
              <w:jc w:val="center"/>
              <w:rPr>
                <w:bCs/>
                <w:iCs/>
                <w:color w:val="000000"/>
                <w:szCs w:val="22"/>
                <w:lang w:val="nl-BE" w:eastAsia="nl-BE"/>
              </w:rPr>
            </w:pPr>
            <w:r w:rsidRPr="005339E8">
              <w:rPr>
                <w:bCs/>
                <w:iCs/>
                <w:color w:val="000000"/>
                <w:szCs w:val="22"/>
                <w:lang w:val="nl-BE" w:eastAsia="nl-BE"/>
              </w:rPr>
              <w:t>348</w:t>
            </w:r>
          </w:p>
        </w:tc>
        <w:tc>
          <w:tcPr>
            <w:tcW w:w="1985" w:type="dxa"/>
            <w:vAlign w:val="center"/>
          </w:tcPr>
          <w:p w14:paraId="200180E7" w14:textId="77777777" w:rsidR="003D76BF" w:rsidRPr="005339E8" w:rsidRDefault="003D76BF" w:rsidP="00522C07">
            <w:pPr>
              <w:jc w:val="center"/>
              <w:rPr>
                <w:bCs/>
                <w:iCs/>
                <w:color w:val="000000"/>
                <w:szCs w:val="22"/>
                <w:lang w:val="nl-BE" w:eastAsia="nl-BE"/>
              </w:rPr>
            </w:pPr>
            <w:r w:rsidRPr="005339E8">
              <w:rPr>
                <w:bCs/>
                <w:iCs/>
                <w:color w:val="000000"/>
                <w:szCs w:val="22"/>
                <w:lang w:val="nl-BE" w:eastAsia="nl-BE"/>
              </w:rPr>
              <w:t>189</w:t>
            </w:r>
          </w:p>
        </w:tc>
      </w:tr>
      <w:tr w:rsidR="00442914" w:rsidRPr="005339E8" w14:paraId="437060BF" w14:textId="77777777" w:rsidTr="00442914">
        <w:trPr>
          <w:jc w:val="center"/>
        </w:trPr>
        <w:tc>
          <w:tcPr>
            <w:tcW w:w="817" w:type="dxa"/>
          </w:tcPr>
          <w:p w14:paraId="1FA1DB9E" w14:textId="493C6703" w:rsidR="00442914" w:rsidRPr="005339E8" w:rsidRDefault="00442914" w:rsidP="00522C07">
            <w:pPr>
              <w:pStyle w:val="StandaardSV"/>
              <w:rPr>
                <w:szCs w:val="22"/>
              </w:rPr>
            </w:pPr>
            <w:r>
              <w:rPr>
                <w:szCs w:val="22"/>
              </w:rPr>
              <w:t>2012</w:t>
            </w:r>
          </w:p>
        </w:tc>
        <w:tc>
          <w:tcPr>
            <w:tcW w:w="1984" w:type="dxa"/>
            <w:vAlign w:val="center"/>
          </w:tcPr>
          <w:p w14:paraId="1F730BF9" w14:textId="2D48BFF3" w:rsidR="00442914" w:rsidRPr="005339E8" w:rsidRDefault="00442914" w:rsidP="00522C07">
            <w:pPr>
              <w:jc w:val="center"/>
              <w:rPr>
                <w:bCs/>
                <w:iCs/>
                <w:color w:val="000000"/>
                <w:szCs w:val="22"/>
                <w:lang w:val="nl-BE" w:eastAsia="nl-BE"/>
              </w:rPr>
            </w:pPr>
            <w:r>
              <w:rPr>
                <w:bCs/>
                <w:iCs/>
                <w:color w:val="000000"/>
                <w:szCs w:val="22"/>
                <w:lang w:val="nl-BE" w:eastAsia="nl-BE"/>
              </w:rPr>
              <w:t>27</w:t>
            </w:r>
          </w:p>
        </w:tc>
        <w:tc>
          <w:tcPr>
            <w:tcW w:w="1985" w:type="dxa"/>
            <w:vAlign w:val="center"/>
          </w:tcPr>
          <w:p w14:paraId="1B9F258D" w14:textId="5AF8894B" w:rsidR="00442914" w:rsidRPr="005339E8" w:rsidRDefault="00442914" w:rsidP="00522C07">
            <w:pPr>
              <w:jc w:val="center"/>
              <w:rPr>
                <w:bCs/>
                <w:iCs/>
                <w:color w:val="000000"/>
                <w:szCs w:val="22"/>
                <w:lang w:val="nl-BE" w:eastAsia="nl-BE"/>
              </w:rPr>
            </w:pPr>
            <w:r>
              <w:rPr>
                <w:bCs/>
                <w:iCs/>
                <w:color w:val="000000"/>
                <w:szCs w:val="22"/>
                <w:lang w:val="nl-BE" w:eastAsia="nl-BE"/>
              </w:rPr>
              <w:t>33</w:t>
            </w:r>
          </w:p>
        </w:tc>
      </w:tr>
    </w:tbl>
    <w:p w14:paraId="5D68F834" w14:textId="77777777" w:rsidR="003D76BF" w:rsidRDefault="003D76BF" w:rsidP="003D76BF">
      <w:pPr>
        <w:pStyle w:val="StandaardSV"/>
      </w:pPr>
    </w:p>
    <w:p w14:paraId="1F06DE3A" w14:textId="7E41AE34" w:rsidR="003D76BF" w:rsidRDefault="003D76BF" w:rsidP="003D76BF">
      <w:pPr>
        <w:pStyle w:val="StandaardSV"/>
      </w:pPr>
      <w:r>
        <w:t xml:space="preserve">Het aantal beroepen dat in 2012 ingesteld werd door de leidend ambtenaar </w:t>
      </w:r>
      <w:r w:rsidR="00442914">
        <w:t>is als volgt verdeeld over de verschillende provincies</w:t>
      </w:r>
      <w:r>
        <w:t>:</w:t>
      </w:r>
    </w:p>
    <w:p w14:paraId="658809CB" w14:textId="77777777" w:rsidR="003D76BF" w:rsidRDefault="003D76BF" w:rsidP="003D76BF">
      <w:pPr>
        <w:pStyle w:val="StandaardSV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985"/>
        <w:gridCol w:w="1984"/>
      </w:tblGrid>
      <w:tr w:rsidR="003D76BF" w:rsidRPr="006952A4" w14:paraId="35DAD54E" w14:textId="77777777" w:rsidTr="00442914">
        <w:trPr>
          <w:trHeight w:val="255"/>
          <w:jc w:val="center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EECAFD3" w14:textId="77777777" w:rsidR="003D76BF" w:rsidRPr="006952A4" w:rsidRDefault="003D76BF" w:rsidP="00522C07">
            <w:pPr>
              <w:pStyle w:val="StandaardSV"/>
              <w:rPr>
                <w:b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220DE4" w14:textId="77777777" w:rsidR="003D76BF" w:rsidRPr="006952A4" w:rsidRDefault="003D76BF" w:rsidP="00522C07">
            <w:pPr>
              <w:pStyle w:val="StandaardSV"/>
              <w:jc w:val="center"/>
              <w:rPr>
                <w:b/>
                <w:szCs w:val="22"/>
              </w:rPr>
            </w:pPr>
            <w:r w:rsidRPr="006952A4">
              <w:rPr>
                <w:b/>
                <w:szCs w:val="22"/>
              </w:rPr>
              <w:t>Deputatie</w:t>
            </w:r>
          </w:p>
        </w:tc>
        <w:tc>
          <w:tcPr>
            <w:tcW w:w="1984" w:type="dxa"/>
            <w:vAlign w:val="center"/>
          </w:tcPr>
          <w:p w14:paraId="3A7BAE4F" w14:textId="77777777" w:rsidR="003D76BF" w:rsidRPr="006952A4" w:rsidRDefault="003D76BF" w:rsidP="00522C07">
            <w:pPr>
              <w:pStyle w:val="StandaardSV"/>
              <w:jc w:val="center"/>
              <w:rPr>
                <w:b/>
                <w:szCs w:val="22"/>
              </w:rPr>
            </w:pPr>
            <w:proofErr w:type="spellStart"/>
            <w:r w:rsidRPr="006952A4">
              <w:rPr>
                <w:b/>
                <w:szCs w:val="22"/>
              </w:rPr>
              <w:t>RvVb</w:t>
            </w:r>
            <w:proofErr w:type="spellEnd"/>
          </w:p>
        </w:tc>
      </w:tr>
      <w:tr w:rsidR="003D76BF" w:rsidRPr="00F972F2" w14:paraId="3C8A8C7E" w14:textId="77777777" w:rsidTr="00442914">
        <w:trPr>
          <w:trHeight w:val="255"/>
          <w:jc w:val="center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735EB8D" w14:textId="38C506DD" w:rsidR="003D76BF" w:rsidRPr="006952A4" w:rsidRDefault="003D76BF" w:rsidP="00522C07">
            <w:pPr>
              <w:pStyle w:val="StandaardSV"/>
              <w:rPr>
                <w:szCs w:val="22"/>
              </w:rPr>
            </w:pPr>
            <w:r w:rsidRPr="006952A4">
              <w:rPr>
                <w:szCs w:val="22"/>
              </w:rPr>
              <w:t>Ant</w:t>
            </w:r>
            <w:r w:rsidR="00442914">
              <w:rPr>
                <w:szCs w:val="22"/>
              </w:rPr>
              <w:t>werpen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9A4E5F" w14:textId="77777777" w:rsidR="003D76BF" w:rsidRPr="006952A4" w:rsidRDefault="003D76BF" w:rsidP="00522C07">
            <w:pPr>
              <w:pStyle w:val="StandaardSV"/>
              <w:jc w:val="center"/>
              <w:rPr>
                <w:szCs w:val="22"/>
              </w:rPr>
            </w:pPr>
            <w:r w:rsidRPr="006952A4">
              <w:rPr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6CBD7DA8" w14:textId="77777777" w:rsidR="003D76BF" w:rsidRPr="006952A4" w:rsidRDefault="003D76BF" w:rsidP="00522C07">
            <w:pPr>
              <w:pStyle w:val="StandaardSV"/>
              <w:jc w:val="center"/>
              <w:rPr>
                <w:szCs w:val="22"/>
              </w:rPr>
            </w:pPr>
            <w:r w:rsidRPr="006952A4">
              <w:rPr>
                <w:szCs w:val="22"/>
              </w:rPr>
              <w:t>7</w:t>
            </w:r>
          </w:p>
        </w:tc>
      </w:tr>
      <w:tr w:rsidR="003D76BF" w:rsidRPr="00F972F2" w14:paraId="7B0A0BFD" w14:textId="77777777" w:rsidTr="00442914">
        <w:trPr>
          <w:trHeight w:val="255"/>
          <w:jc w:val="center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A3C9E5C" w14:textId="79A51D6E" w:rsidR="003D76BF" w:rsidRPr="006952A4" w:rsidRDefault="003D76BF" w:rsidP="00522C07">
            <w:pPr>
              <w:pStyle w:val="StandaardSV"/>
              <w:rPr>
                <w:szCs w:val="22"/>
              </w:rPr>
            </w:pPr>
            <w:r w:rsidRPr="006952A4">
              <w:rPr>
                <w:szCs w:val="22"/>
              </w:rPr>
              <w:t>Lim</w:t>
            </w:r>
            <w:r w:rsidR="00442914">
              <w:rPr>
                <w:szCs w:val="22"/>
              </w:rPr>
              <w:t>burg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93E811" w14:textId="77777777" w:rsidR="003D76BF" w:rsidRPr="006952A4" w:rsidRDefault="003D76BF" w:rsidP="00522C07">
            <w:pPr>
              <w:pStyle w:val="StandaardSV"/>
              <w:jc w:val="center"/>
              <w:rPr>
                <w:szCs w:val="22"/>
              </w:rPr>
            </w:pPr>
            <w:r w:rsidRPr="006952A4">
              <w:rPr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2F3ABA4E" w14:textId="77777777" w:rsidR="003D76BF" w:rsidRPr="006952A4" w:rsidRDefault="003D76BF" w:rsidP="00522C07">
            <w:pPr>
              <w:pStyle w:val="StandaardSV"/>
              <w:jc w:val="center"/>
              <w:rPr>
                <w:szCs w:val="22"/>
              </w:rPr>
            </w:pPr>
            <w:r w:rsidRPr="006952A4">
              <w:rPr>
                <w:szCs w:val="22"/>
              </w:rPr>
              <w:t>6</w:t>
            </w:r>
          </w:p>
        </w:tc>
      </w:tr>
      <w:tr w:rsidR="003D76BF" w:rsidRPr="00F972F2" w14:paraId="3DE28684" w14:textId="77777777" w:rsidTr="00442914">
        <w:trPr>
          <w:trHeight w:val="255"/>
          <w:jc w:val="center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4B7AD7F4" w14:textId="5F9D20D5" w:rsidR="003D76BF" w:rsidRPr="006952A4" w:rsidRDefault="003D76BF" w:rsidP="00522C07">
            <w:pPr>
              <w:pStyle w:val="StandaardSV"/>
              <w:rPr>
                <w:szCs w:val="22"/>
              </w:rPr>
            </w:pPr>
            <w:r w:rsidRPr="006952A4">
              <w:rPr>
                <w:szCs w:val="22"/>
              </w:rPr>
              <w:t>O</w:t>
            </w:r>
            <w:r w:rsidR="00442914">
              <w:rPr>
                <w:szCs w:val="22"/>
              </w:rPr>
              <w:t>ost</w:t>
            </w:r>
            <w:r w:rsidRPr="006952A4">
              <w:rPr>
                <w:szCs w:val="22"/>
              </w:rPr>
              <w:t>-Vl</w:t>
            </w:r>
            <w:r w:rsidR="00442914">
              <w:rPr>
                <w:szCs w:val="22"/>
              </w:rPr>
              <w:t>aanderen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BB8CF9" w14:textId="77777777" w:rsidR="003D76BF" w:rsidRPr="006952A4" w:rsidRDefault="003D76BF" w:rsidP="00522C07">
            <w:pPr>
              <w:pStyle w:val="StandaardSV"/>
              <w:jc w:val="center"/>
              <w:rPr>
                <w:szCs w:val="22"/>
              </w:rPr>
            </w:pPr>
            <w:r w:rsidRPr="006952A4">
              <w:rPr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301C046D" w14:textId="77777777" w:rsidR="003D76BF" w:rsidRPr="006952A4" w:rsidRDefault="003D76BF" w:rsidP="00522C07">
            <w:pPr>
              <w:pStyle w:val="StandaardSV"/>
              <w:jc w:val="center"/>
              <w:rPr>
                <w:szCs w:val="22"/>
              </w:rPr>
            </w:pPr>
            <w:r w:rsidRPr="006952A4">
              <w:rPr>
                <w:szCs w:val="22"/>
              </w:rPr>
              <w:t>9</w:t>
            </w:r>
          </w:p>
        </w:tc>
      </w:tr>
      <w:tr w:rsidR="003D76BF" w:rsidRPr="00F972F2" w14:paraId="7D9910B3" w14:textId="77777777" w:rsidTr="00442914">
        <w:trPr>
          <w:trHeight w:val="255"/>
          <w:jc w:val="center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64F4348" w14:textId="122A8BCE" w:rsidR="003D76BF" w:rsidRPr="006952A4" w:rsidRDefault="003D76BF" w:rsidP="00522C07">
            <w:pPr>
              <w:pStyle w:val="StandaardSV"/>
              <w:rPr>
                <w:szCs w:val="22"/>
              </w:rPr>
            </w:pPr>
            <w:r w:rsidRPr="006952A4">
              <w:rPr>
                <w:szCs w:val="22"/>
              </w:rPr>
              <w:t>W</w:t>
            </w:r>
            <w:r w:rsidR="00442914">
              <w:rPr>
                <w:szCs w:val="22"/>
              </w:rPr>
              <w:t>est</w:t>
            </w:r>
            <w:r w:rsidRPr="006952A4">
              <w:rPr>
                <w:szCs w:val="22"/>
              </w:rPr>
              <w:t>-Vl</w:t>
            </w:r>
            <w:r w:rsidR="00442914">
              <w:rPr>
                <w:szCs w:val="22"/>
              </w:rPr>
              <w:t>aanderen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D4E605" w14:textId="77777777" w:rsidR="003D76BF" w:rsidRPr="006952A4" w:rsidRDefault="003D76BF" w:rsidP="00522C07">
            <w:pPr>
              <w:pStyle w:val="StandaardSV"/>
              <w:jc w:val="center"/>
              <w:rPr>
                <w:szCs w:val="22"/>
              </w:rPr>
            </w:pPr>
            <w:r w:rsidRPr="006952A4">
              <w:rPr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1788FE86" w14:textId="77777777" w:rsidR="003D76BF" w:rsidRPr="006952A4" w:rsidRDefault="003D76BF" w:rsidP="00522C07">
            <w:pPr>
              <w:pStyle w:val="StandaardSV"/>
              <w:jc w:val="center"/>
              <w:rPr>
                <w:szCs w:val="22"/>
              </w:rPr>
            </w:pPr>
            <w:r w:rsidRPr="006952A4">
              <w:rPr>
                <w:szCs w:val="22"/>
              </w:rPr>
              <w:t>1</w:t>
            </w:r>
          </w:p>
        </w:tc>
      </w:tr>
      <w:tr w:rsidR="003D76BF" w:rsidRPr="00F972F2" w14:paraId="395A6FD9" w14:textId="77777777" w:rsidTr="00442914">
        <w:trPr>
          <w:trHeight w:val="255"/>
          <w:jc w:val="center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7422A1CE" w14:textId="52685E31" w:rsidR="003D76BF" w:rsidRPr="006952A4" w:rsidRDefault="003D76BF" w:rsidP="00442914">
            <w:pPr>
              <w:pStyle w:val="StandaardSV"/>
              <w:rPr>
                <w:szCs w:val="22"/>
              </w:rPr>
            </w:pPr>
            <w:r w:rsidRPr="006952A4">
              <w:rPr>
                <w:szCs w:val="22"/>
              </w:rPr>
              <w:t>Vl</w:t>
            </w:r>
            <w:r w:rsidR="00442914">
              <w:rPr>
                <w:szCs w:val="22"/>
              </w:rPr>
              <w:t>aams-Brabant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A6428F" w14:textId="77777777" w:rsidR="003D76BF" w:rsidRPr="006952A4" w:rsidRDefault="003D76BF" w:rsidP="00522C07">
            <w:pPr>
              <w:pStyle w:val="StandaardSV"/>
              <w:jc w:val="center"/>
              <w:rPr>
                <w:szCs w:val="22"/>
              </w:rPr>
            </w:pPr>
            <w:r w:rsidRPr="006952A4">
              <w:rPr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14:paraId="58546959" w14:textId="77777777" w:rsidR="003D76BF" w:rsidRPr="006952A4" w:rsidRDefault="003D76BF" w:rsidP="00522C07">
            <w:pPr>
              <w:pStyle w:val="StandaardSV"/>
              <w:jc w:val="center"/>
              <w:rPr>
                <w:szCs w:val="22"/>
              </w:rPr>
            </w:pPr>
            <w:r w:rsidRPr="006952A4">
              <w:rPr>
                <w:szCs w:val="22"/>
              </w:rPr>
              <w:t>10</w:t>
            </w:r>
          </w:p>
        </w:tc>
      </w:tr>
      <w:tr w:rsidR="003D76BF" w:rsidRPr="006952A4" w14:paraId="5E840AFB" w14:textId="77777777" w:rsidTr="00442914">
        <w:trPr>
          <w:trHeight w:val="403"/>
          <w:jc w:val="center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D819C9D" w14:textId="77777777" w:rsidR="003D76BF" w:rsidRPr="00442914" w:rsidRDefault="003D76BF" w:rsidP="00522C07">
            <w:pPr>
              <w:pStyle w:val="StandaardSV"/>
              <w:rPr>
                <w:b/>
                <w:szCs w:val="22"/>
              </w:rPr>
            </w:pPr>
            <w:r w:rsidRPr="00442914">
              <w:rPr>
                <w:b/>
                <w:szCs w:val="22"/>
              </w:rPr>
              <w:t>Totaal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62297F" w14:textId="77777777" w:rsidR="003D76BF" w:rsidRPr="00442914" w:rsidRDefault="003D76BF" w:rsidP="00522C07">
            <w:pPr>
              <w:pStyle w:val="StandaardSV"/>
              <w:jc w:val="center"/>
              <w:rPr>
                <w:b/>
                <w:szCs w:val="22"/>
              </w:rPr>
            </w:pPr>
            <w:r w:rsidRPr="00442914">
              <w:rPr>
                <w:b/>
                <w:szCs w:val="22"/>
              </w:rPr>
              <w:t>27</w:t>
            </w:r>
          </w:p>
        </w:tc>
        <w:tc>
          <w:tcPr>
            <w:tcW w:w="1984" w:type="dxa"/>
            <w:vAlign w:val="center"/>
          </w:tcPr>
          <w:p w14:paraId="60DECDA5" w14:textId="77777777" w:rsidR="003D76BF" w:rsidRPr="00442914" w:rsidRDefault="003D76BF" w:rsidP="00522C07">
            <w:pPr>
              <w:pStyle w:val="StandaardSV"/>
              <w:jc w:val="center"/>
              <w:rPr>
                <w:b/>
                <w:szCs w:val="22"/>
              </w:rPr>
            </w:pPr>
            <w:r w:rsidRPr="00442914">
              <w:rPr>
                <w:b/>
                <w:szCs w:val="22"/>
              </w:rPr>
              <w:t>33</w:t>
            </w:r>
          </w:p>
        </w:tc>
      </w:tr>
    </w:tbl>
    <w:p w14:paraId="23905088" w14:textId="5C66407B" w:rsidR="003D76BF" w:rsidRPr="00DF013D" w:rsidRDefault="003D76BF" w:rsidP="003D76BF">
      <w:pPr>
        <w:pStyle w:val="StandaardSV"/>
      </w:pPr>
    </w:p>
    <w:p w14:paraId="2B13A3F1" w14:textId="0F13EC6F" w:rsidR="00FD5BF4" w:rsidRPr="00442914" w:rsidRDefault="00442914" w:rsidP="00442914">
      <w:pPr>
        <w:pStyle w:val="Lijstalinea"/>
        <w:numPr>
          <w:ilvl w:val="0"/>
          <w:numId w:val="13"/>
        </w:numPr>
        <w:jc w:val="both"/>
        <w:rPr>
          <w:szCs w:val="22"/>
        </w:rPr>
      </w:pPr>
      <w:r w:rsidRPr="00442914">
        <w:rPr>
          <w:szCs w:val="22"/>
        </w:rPr>
        <w:t>Het proefproject, waarbij dossiers aan de Raad voor Vergunningsbetwistingen ingeleid worden zonder bijstand van een advocaat loopt s</w:t>
      </w:r>
      <w:r w:rsidR="003D76BF" w:rsidRPr="00442914">
        <w:rPr>
          <w:szCs w:val="22"/>
        </w:rPr>
        <w:t xml:space="preserve">inds juni 2012 </w:t>
      </w:r>
      <w:r w:rsidRPr="00442914">
        <w:rPr>
          <w:szCs w:val="22"/>
        </w:rPr>
        <w:t>en</w:t>
      </w:r>
      <w:r w:rsidR="003D76BF" w:rsidRPr="00442914">
        <w:rPr>
          <w:szCs w:val="22"/>
        </w:rPr>
        <w:t xml:space="preserve"> is beperkt tot de </w:t>
      </w:r>
      <w:r w:rsidRPr="00442914">
        <w:rPr>
          <w:szCs w:val="22"/>
        </w:rPr>
        <w:t xml:space="preserve">provincie Vlaams-Brabant. Het gaat tot dusver om vier dossiers, waarbij de Raad in één dossier reeds een uitspraak heeft gedaan. </w:t>
      </w:r>
      <w:r w:rsidR="003D76BF" w:rsidRPr="00442914">
        <w:rPr>
          <w:szCs w:val="22"/>
        </w:rPr>
        <w:t>Momenteel wordt overwogen om het proefproject uit te breiden naar de provincie Limburg.</w:t>
      </w:r>
      <w:r w:rsidRPr="00442914">
        <w:rPr>
          <w:szCs w:val="22"/>
        </w:rPr>
        <w:t xml:space="preserve"> </w:t>
      </w:r>
      <w:bookmarkStart w:id="6" w:name="_GoBack"/>
      <w:bookmarkEnd w:id="6"/>
    </w:p>
    <w:sectPr w:rsidR="00FD5BF4" w:rsidRPr="00442914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374C7"/>
    <w:multiLevelType w:val="hybridMultilevel"/>
    <w:tmpl w:val="B386CBF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BF"/>
    <w:rsid w:val="0008172E"/>
    <w:rsid w:val="000976E9"/>
    <w:rsid w:val="000C4E8C"/>
    <w:rsid w:val="000F3532"/>
    <w:rsid w:val="0016028E"/>
    <w:rsid w:val="00174464"/>
    <w:rsid w:val="001764EC"/>
    <w:rsid w:val="00210C07"/>
    <w:rsid w:val="00266E3B"/>
    <w:rsid w:val="00305EEA"/>
    <w:rsid w:val="00326A58"/>
    <w:rsid w:val="00336BBF"/>
    <w:rsid w:val="003D76BF"/>
    <w:rsid w:val="00442914"/>
    <w:rsid w:val="005208D5"/>
    <w:rsid w:val="005E38CA"/>
    <w:rsid w:val="006548DD"/>
    <w:rsid w:val="0071248C"/>
    <w:rsid w:val="007252C7"/>
    <w:rsid w:val="00735E21"/>
    <w:rsid w:val="00787964"/>
    <w:rsid w:val="007A1490"/>
    <w:rsid w:val="00876DF5"/>
    <w:rsid w:val="008A5E92"/>
    <w:rsid w:val="008A713D"/>
    <w:rsid w:val="008D5DB4"/>
    <w:rsid w:val="00924D85"/>
    <w:rsid w:val="009347E0"/>
    <w:rsid w:val="009D7043"/>
    <w:rsid w:val="009E72BD"/>
    <w:rsid w:val="00AF64E1"/>
    <w:rsid w:val="00B45EB2"/>
    <w:rsid w:val="00BB7612"/>
    <w:rsid w:val="00BE425A"/>
    <w:rsid w:val="00C15BA8"/>
    <w:rsid w:val="00CE1141"/>
    <w:rsid w:val="00D71D99"/>
    <w:rsid w:val="00D754F2"/>
    <w:rsid w:val="00DB41C0"/>
    <w:rsid w:val="00DC00E1"/>
    <w:rsid w:val="00DC4DB6"/>
    <w:rsid w:val="00E55200"/>
    <w:rsid w:val="00EF4BB8"/>
    <w:rsid w:val="00F10CD5"/>
    <w:rsid w:val="00F31EBD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E5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uiPriority w:val="59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customStyle="1" w:styleId="StandaardSV">
    <w:name w:val="Standaard SV"/>
    <w:basedOn w:val="Standaard"/>
    <w:uiPriority w:val="99"/>
    <w:rsid w:val="003D76BF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305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uiPriority w:val="59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customStyle="1" w:styleId="StandaardSV">
    <w:name w:val="Standaard SV"/>
    <w:basedOn w:val="Standaard"/>
    <w:uiPriority w:val="99"/>
    <w:rsid w:val="003D76BF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30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nmerk xmlns="2810934c-bd81-4475-9a9d-49f5b40418c8" xsi:nil="true"/>
    <NaamAfzender xmlns="2810934c-bd81-4475-9a9d-49f5b40418c8">&lt;div&gt;&lt;/div&gt;</NaamAfzender>
    <FinaalAntwoord xmlns="2810934c-bd81-4475-9a9d-49f5b40418c8">true</FinaalAntwoord>
    <ExtraOpmerkingen xmlns="2810934c-bd81-4475-9a9d-49f5b40418c8">&lt;div&gt;Opsplitsing aantal beroepen 2010-2011 niet weergegeven aangezien data die uit bredero getrokken werden niet betrouwbaar waren.&lt;/div&gt;</ExtraOpmerkingen>
    <UiterlijkVoor xmlns="2810934c-bd81-4475-9a9d-49f5b40418c8" xsi:nil="true"/>
    <AntwoordBinnenDertigDagen xmlns="2810934c-bd81-4475-9a9d-49f5b40418c8">false</AntwoordBinnenDertigDagen>
    <Datum xmlns="2810934c-bd81-4475-9a9d-49f5b40418c8" xsi:nil="true"/>
    <AardVanVerzoek xmlns="2810934c-bd81-4475-9a9d-49f5b40418c8"/>
    <ReferentienummerExtern xmlns="2810934c-bd81-4475-9a9d-49f5b40418c8" xsi:nil="true"/>
    <AanduidenVanInstantie xmlns="2810934c-bd81-4475-9a9d-49f5b40418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WO Document" ma:contentTypeID="0x0101009488E854BFFCF9489C88BFB59DE882FD0100CDC2F665A9A75E47B81183CCF4FAE1F1" ma:contentTypeVersion="0" ma:contentTypeDescription="" ma:contentTypeScope="" ma:versionID="052d6e69dc85c42c5d8ab7c6b00ada1a">
  <xsd:schema xmlns:xsd="http://www.w3.org/2001/XMLSchema" xmlns:xs="http://www.w3.org/2001/XMLSchema" xmlns:p="http://schemas.microsoft.com/office/2006/metadata/properties" xmlns:ns2="2810934c-bd81-4475-9a9d-49f5b40418c8" targetNamespace="http://schemas.microsoft.com/office/2006/metadata/properties" ma:root="true" ma:fieldsID="6305c23a1fea5ecaea8de2509d60daf7" ns2:_="">
    <xsd:import namespace="2810934c-bd81-4475-9a9d-49f5b40418c8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Kenmerk" minOccurs="0"/>
                <xsd:element ref="ns2:NaamAfzender" minOccurs="0"/>
                <xsd:element ref="ns2:AanduidenVanInstantie" minOccurs="0"/>
                <xsd:element ref="ns2:AardVanVerzoek" minOccurs="0"/>
                <xsd:element ref="ns2:AntwoordBinnenDertigDagen" minOccurs="0"/>
                <xsd:element ref="ns2:UiterlijkVoor" minOccurs="0"/>
                <xsd:element ref="ns2:ReferentienummerExtern" minOccurs="0"/>
                <xsd:element ref="ns2:FinaalAntwoord" minOccurs="0"/>
                <xsd:element ref="ns2:ExtraOpmerki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934c-bd81-4475-9a9d-49f5b40418c8" elementFormDefault="qualified">
    <xsd:import namespace="http://schemas.microsoft.com/office/2006/documentManagement/types"/>
    <xsd:import namespace="http://schemas.microsoft.com/office/infopath/2007/PartnerControls"/>
    <xsd:element name="Datum" ma:index="1" nillable="true" ma:displayName="Datum" ma:format="DateOnly" ma:internalName="Datum">
      <xsd:simpleType>
        <xsd:restriction base="dms:DateTime"/>
      </xsd:simpleType>
    </xsd:element>
    <xsd:element name="Kenmerk" ma:index="2" nillable="true" ma:displayName="Kenmerk" ma:internalName="Kenmerk">
      <xsd:simpleType>
        <xsd:restriction base="dms:Text">
          <xsd:maxLength value="255"/>
        </xsd:restriction>
      </xsd:simpleType>
    </xsd:element>
    <xsd:element name="NaamAfzender" ma:index="3" nillable="true" ma:displayName="Naam Afzender" ma:internalName="NaamAfzender">
      <xsd:simpleType>
        <xsd:restriction base="dms:Note">
          <xsd:maxLength value="255"/>
        </xsd:restriction>
      </xsd:simpleType>
    </xsd:element>
    <xsd:element name="AanduidenVanInstantie" ma:index="4" nillable="true" ma:displayName="Aanduiden Van Instantie" ma:format="Dropdown" ma:internalName="AanduidenVanInstantie" ma:readOnly="false">
      <xsd:simpleType>
        <xsd:restriction base="dms:Choice">
          <xsd:enumeration value="Departement RWO"/>
          <xsd:enumeration value="HRH"/>
          <xsd:enumeration value="Inspectie RWO"/>
          <xsd:enumeration value="R-O Vlaanderen"/>
          <xsd:enumeration value="Raad voor Vergunningsbetwistingen"/>
          <xsd:enumeration value="SARO"/>
          <xsd:enumeration value="VIOE"/>
          <xsd:enumeration value="Vlaamse Woonraad"/>
          <xsd:enumeration value="VLACORO"/>
          <xsd:enumeration value="VMSW"/>
          <xsd:enumeration value="Wonen-Vlaanderen"/>
          <xsd:enumeration value="Andere"/>
        </xsd:restriction>
      </xsd:simpleType>
    </xsd:element>
    <xsd:element name="AardVanVerzoek" ma:index="5" nillable="true" ma:displayName="Aard Van Verzoek" ma:internalName="AardVanVerzoek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lieve bijgaande vraag te onderzoeken"/>
                    <xsd:enumeration value="Voor dringende informatie"/>
                    <xsd:enumeration value="Voor verder gevolg"/>
                    <xsd:enumeration value="Voor verdere afhandeling"/>
                    <xsd:enumeration value="Ter kennisgeving"/>
                    <xsd:enumeration value="Dringende uitbetaling"/>
                    <xsd:enumeration value="De minister wenst ter zake voorstellen te ontvangen"/>
                    <xsd:enumeration value="Voor ontwerp van antwoord (op papier en per elektronische drager) door de minister te ondertekenen"/>
                    <xsd:enumeration value="Herinnering"/>
                    <xsd:enumeration value="Voor rechtstreeks antwoord aan betrokkene met kopie voor het kabinet"/>
                    <xsd:enumeration value="Voor ontwerp van antwoord door AG te ondertekenen"/>
                  </xsd:restriction>
                </xsd:simpleType>
              </xsd:element>
            </xsd:sequence>
          </xsd:extension>
        </xsd:complexContent>
      </xsd:complexType>
    </xsd:element>
    <xsd:element name="AntwoordBinnenDertigDagen" ma:index="6" nillable="true" ma:displayName="Antwoord Binnen 30 Dagen?" ma:default="0" ma:internalName="AntwoordBinnenDertigDagen" ma:readOnly="false">
      <xsd:simpleType>
        <xsd:restriction base="dms:Boolean"/>
      </xsd:simpleType>
    </xsd:element>
    <xsd:element name="UiterlijkVoor" ma:index="7" nillable="true" ma:displayName="Uiterlijk Vóór" ma:format="DateOnly" ma:internalName="UiterlijkVoor" ma:readOnly="false">
      <xsd:simpleType>
        <xsd:restriction base="dms:DateTime"/>
      </xsd:simpleType>
    </xsd:element>
    <xsd:element name="ReferentienummerExtern" ma:index="8" nillable="true" ma:displayName="Referentienummer Extern" ma:internalName="ReferentienummerExtern">
      <xsd:simpleType>
        <xsd:restriction base="dms:Text">
          <xsd:maxLength value="255"/>
        </xsd:restriction>
      </xsd:simpleType>
    </xsd:element>
    <xsd:element name="FinaalAntwoord" ma:index="9" nillable="true" ma:displayName="Finaal Antwoord" ma:default="0" ma:internalName="FinaalAntwoord">
      <xsd:simpleType>
        <xsd:restriction base="dms:Boolean"/>
      </xsd:simpleType>
    </xsd:element>
    <xsd:element name="ExtraOpmerkingen" ma:index="10" nillable="true" ma:displayName="Extra Opmerkingen" ma:internalName="ExtraOpmerkinge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oudstype"/>
        <xsd:element ref="dc:title" minOccurs="0" maxOccurs="1" ma:index="1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4CBB5-8D9F-4483-ABD7-B46EA5D720F5}">
  <ds:schemaRefs>
    <ds:schemaRef ds:uri="http://schemas.microsoft.com/office/2006/metadata/properties"/>
    <ds:schemaRef ds:uri="http://schemas.microsoft.com/office/infopath/2007/PartnerControls"/>
    <ds:schemaRef ds:uri="2810934c-bd81-4475-9a9d-49f5b40418c8"/>
  </ds:schemaRefs>
</ds:datastoreItem>
</file>

<file path=customXml/itemProps2.xml><?xml version="1.0" encoding="utf-8"?>
<ds:datastoreItem xmlns:ds="http://schemas.openxmlformats.org/officeDocument/2006/customXml" ds:itemID="{2CB2ECAB-441F-4C88-97F1-188C370B2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7055E-5739-43D2-AAE7-B4668F036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0934c-bd81-4475-9a9d-49f5b4041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Verwimp, Emilie</dc:creator>
  <cp:lastModifiedBy>Mer-Van-A</cp:lastModifiedBy>
  <cp:revision>2</cp:revision>
  <cp:lastPrinted>2013-02-06T08:43:00Z</cp:lastPrinted>
  <dcterms:created xsi:type="dcterms:W3CDTF">2013-02-25T10:58:00Z</dcterms:created>
  <dcterms:modified xsi:type="dcterms:W3CDTF">2013-02-25T10:58:00Z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Antwoord schriftelijke vraag - Muyters</vt:lpwstr>
  </property>
  <property fmtid="{D5CDD505-2E9C-101B-9397-08002B2CF9AE}" pid="3" name="ContentTypeId">
    <vt:lpwstr>0x0101009488E854BFFCF9489C88BFB59DE882FD0100CDC2F665A9A75E47B81183CCF4FAE1F1</vt:lpwstr>
  </property>
</Properties>
</file>