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9" w:rsidRPr="00AE4255" w:rsidRDefault="004F30D4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liesbeth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homans</w:t>
      </w:r>
      <w:proofErr w:type="spellEnd"/>
    </w:p>
    <w:p w:rsidR="000976E9" w:rsidRPr="00AE4255" w:rsidRDefault="004F30D4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vlaamse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binnenlands bestuur, inburgering, wonen, gelijke kansen en armoedebestrijding</w:t>
      </w:r>
    </w:p>
    <w:p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8820CD">
        <w:rPr>
          <w:rFonts w:ascii="Verdana" w:hAnsi="Verdana"/>
          <w:b w:val="0"/>
          <w:sz w:val="20"/>
          <w:szCs w:val="20"/>
        </w:rPr>
        <w:t>78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8820CD">
        <w:rPr>
          <w:rFonts w:ascii="Verdana" w:hAnsi="Verdana"/>
          <w:b w:val="0"/>
          <w:smallCaps w:val="0"/>
          <w:sz w:val="20"/>
          <w:szCs w:val="20"/>
        </w:rPr>
        <w:t>15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8820CD">
            <w:rPr>
              <w:rFonts w:ascii="Verdana" w:hAnsi="Verdana"/>
              <w:b w:val="0"/>
              <w:smallCaps w:val="0"/>
              <w:sz w:val="20"/>
              <w:szCs w:val="20"/>
            </w:rPr>
            <w:t>oktober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2B7438">
            <w:rPr>
              <w:rFonts w:ascii="Verdana" w:hAnsi="Verdana"/>
              <w:b w:val="0"/>
              <w:smallCaps w:val="0"/>
              <w:sz w:val="20"/>
              <w:szCs w:val="20"/>
            </w:rPr>
            <w:t>2014</w:t>
          </w:r>
        </w:sdtContent>
      </w:sdt>
    </w:p>
    <w:p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8820CD">
        <w:rPr>
          <w:rStyle w:val="AntwoordNaamMinisterChar"/>
          <w:rFonts w:ascii="Verdana" w:hAnsi="Verdana"/>
          <w:sz w:val="20"/>
          <w:szCs w:val="20"/>
        </w:rPr>
        <w:t>mercedes</w:t>
      </w:r>
      <w:proofErr w:type="spellEnd"/>
      <w:r w:rsidR="008820CD">
        <w:rPr>
          <w:rStyle w:val="AntwoordNaamMinisterChar"/>
          <w:rFonts w:ascii="Verdana" w:hAnsi="Verdana"/>
          <w:sz w:val="20"/>
          <w:szCs w:val="20"/>
        </w:rPr>
        <w:t xml:space="preserve"> van </w:t>
      </w:r>
      <w:proofErr w:type="spellStart"/>
      <w:r w:rsidR="008820CD">
        <w:rPr>
          <w:rStyle w:val="AntwoordNaamMinisterChar"/>
          <w:rFonts w:ascii="Verdana" w:hAnsi="Verdana"/>
          <w:sz w:val="20"/>
          <w:szCs w:val="20"/>
        </w:rPr>
        <w:t>volcem</w:t>
      </w:r>
      <w:proofErr w:type="spellEnd"/>
    </w:p>
    <w:p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030D" w:rsidRDefault="008820CD" w:rsidP="00F3260E">
      <w:pPr>
        <w:pStyle w:val="Lijstalinea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 2013 werden er door de sociale huisvestingsmaatschappijen (</w:t>
      </w:r>
      <w:proofErr w:type="spellStart"/>
      <w:r>
        <w:rPr>
          <w:rFonts w:ascii="Verdana" w:hAnsi="Verdana"/>
          <w:sz w:val="20"/>
          <w:szCs w:val="20"/>
        </w:rPr>
        <w:t>SHM’s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r w:rsidR="00982D32">
        <w:rPr>
          <w:rFonts w:ascii="Verdana" w:hAnsi="Verdana"/>
          <w:sz w:val="20"/>
          <w:szCs w:val="20"/>
        </w:rPr>
        <w:t xml:space="preserve">in 9.986 dossiers een </w:t>
      </w:r>
      <w:r>
        <w:rPr>
          <w:rFonts w:ascii="Verdana" w:hAnsi="Verdana"/>
          <w:sz w:val="20"/>
          <w:szCs w:val="20"/>
        </w:rPr>
        <w:t xml:space="preserve">huurwoning toegewezen. In </w:t>
      </w:r>
      <w:r w:rsidR="00B1405D">
        <w:rPr>
          <w:rFonts w:ascii="Verdana" w:hAnsi="Verdana"/>
          <w:sz w:val="20"/>
          <w:szCs w:val="20"/>
        </w:rPr>
        <w:t>onderstaande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tabel vindt u een verdeling per provincie (de provincie van de SHM) en de verhouding tussen het aantal toewijzingen en het totaal aantal openstaande dossiers op 31.12.2013. </w:t>
      </w:r>
      <w:r w:rsidR="007B226C">
        <w:rPr>
          <w:rFonts w:ascii="Verdana" w:hAnsi="Verdana"/>
          <w:sz w:val="20"/>
          <w:szCs w:val="20"/>
        </w:rPr>
        <w:t>Noteer zeker ook dat de tabel gegevens bevat over het aantal dossiers en niet zoals gebruikelijk over het aantal unieke kandidaat-huurders.</w:t>
      </w:r>
    </w:p>
    <w:p w:rsidR="008820CD" w:rsidRDefault="008820CD" w:rsidP="008820CD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:rsidR="008820CD" w:rsidRDefault="008820CD" w:rsidP="00F3260E">
      <w:pPr>
        <w:pStyle w:val="Lijstalinea"/>
        <w:numPr>
          <w:ilvl w:val="0"/>
          <w:numId w:val="5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gegevens vindt u eveneens in de tabel.</w:t>
      </w:r>
      <w:r w:rsidR="007B226C">
        <w:rPr>
          <w:rFonts w:ascii="Verdana" w:hAnsi="Verdana"/>
          <w:sz w:val="20"/>
          <w:szCs w:val="20"/>
        </w:rPr>
        <w:t xml:space="preserve"> </w:t>
      </w:r>
      <w:r w:rsidR="000F67B8">
        <w:rPr>
          <w:rFonts w:ascii="Verdana" w:hAnsi="Verdana"/>
          <w:sz w:val="20"/>
          <w:szCs w:val="20"/>
        </w:rPr>
        <w:t>Voor</w:t>
      </w:r>
      <w:r w:rsidR="007B226C">
        <w:rPr>
          <w:rFonts w:ascii="Verdana" w:hAnsi="Verdana"/>
          <w:sz w:val="20"/>
          <w:szCs w:val="20"/>
        </w:rPr>
        <w:t xml:space="preserve"> heel Vlaanderen </w:t>
      </w:r>
      <w:r w:rsidR="000F67B8">
        <w:rPr>
          <w:rFonts w:ascii="Verdana" w:hAnsi="Verdana"/>
          <w:sz w:val="20"/>
          <w:szCs w:val="20"/>
        </w:rPr>
        <w:t xml:space="preserve">ging het </w:t>
      </w:r>
      <w:r w:rsidR="007B226C">
        <w:rPr>
          <w:rFonts w:ascii="Verdana" w:hAnsi="Verdana"/>
          <w:sz w:val="20"/>
          <w:szCs w:val="20"/>
        </w:rPr>
        <w:t xml:space="preserve">in 2013 </w:t>
      </w:r>
      <w:r w:rsidR="000F67B8">
        <w:rPr>
          <w:rFonts w:ascii="Verdana" w:hAnsi="Verdana"/>
          <w:sz w:val="20"/>
          <w:szCs w:val="20"/>
        </w:rPr>
        <w:t>in een vijfde</w:t>
      </w:r>
      <w:r w:rsidR="007B226C">
        <w:rPr>
          <w:rFonts w:ascii="Verdana" w:hAnsi="Verdana"/>
          <w:sz w:val="20"/>
          <w:szCs w:val="20"/>
        </w:rPr>
        <w:t xml:space="preserve"> van de toewijzingen </w:t>
      </w:r>
      <w:r w:rsidR="000F67B8">
        <w:rPr>
          <w:rFonts w:ascii="Verdana" w:hAnsi="Verdana"/>
          <w:sz w:val="20"/>
          <w:szCs w:val="20"/>
        </w:rPr>
        <w:t xml:space="preserve">over </w:t>
      </w:r>
      <w:r w:rsidR="007B226C">
        <w:rPr>
          <w:rFonts w:ascii="Verdana" w:hAnsi="Verdana"/>
          <w:sz w:val="20"/>
          <w:szCs w:val="20"/>
        </w:rPr>
        <w:t>mutatiedossiers.</w:t>
      </w:r>
    </w:p>
    <w:p w:rsidR="008820CD" w:rsidRPr="008820CD" w:rsidRDefault="008820CD" w:rsidP="008820CD">
      <w:pPr>
        <w:pStyle w:val="Lijstalinea"/>
        <w:rPr>
          <w:rFonts w:ascii="Verdana" w:hAnsi="Verdana"/>
          <w:sz w:val="20"/>
          <w:szCs w:val="20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332"/>
        <w:gridCol w:w="1332"/>
        <w:gridCol w:w="1022"/>
        <w:gridCol w:w="1275"/>
        <w:gridCol w:w="1701"/>
      </w:tblGrid>
      <w:tr w:rsidR="008820CD" w:rsidRPr="008820CD" w:rsidTr="00F3260E">
        <w:trPr>
          <w:trHeight w:val="600"/>
        </w:trPr>
        <w:tc>
          <w:tcPr>
            <w:tcW w:w="2126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:rsidR="008820CD" w:rsidRPr="008820CD" w:rsidRDefault="00982D32" w:rsidP="00F3260E">
            <w:pPr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p</w:t>
            </w:r>
            <w:r w:rsidR="008820CD" w:rsidRPr="008820CD"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rovincie</w:t>
            </w:r>
          </w:p>
        </w:tc>
        <w:tc>
          <w:tcPr>
            <w:tcW w:w="1332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5B9BD5" w:fill="5B9BD5"/>
            <w:noWrap/>
            <w:vAlign w:val="center"/>
            <w:hideMark/>
          </w:tcPr>
          <w:p w:rsidR="008820CD" w:rsidRDefault="00982D32" w:rsidP="00F3260E">
            <w:pPr>
              <w:jc w:val="right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s</w:t>
            </w:r>
            <w:r w:rsidR="008820CD" w:rsidRPr="008820CD"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tandaard</w:t>
            </w:r>
          </w:p>
          <w:p w:rsidR="00982D32" w:rsidRPr="008820CD" w:rsidRDefault="00982D32" w:rsidP="00F3260E">
            <w:pPr>
              <w:jc w:val="right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dossiers</w:t>
            </w:r>
          </w:p>
        </w:tc>
        <w:tc>
          <w:tcPr>
            <w:tcW w:w="1332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5B9BD5" w:fill="5B9BD5"/>
            <w:noWrap/>
            <w:vAlign w:val="center"/>
            <w:hideMark/>
          </w:tcPr>
          <w:p w:rsidR="008820CD" w:rsidRDefault="00982D32" w:rsidP="00F3260E">
            <w:pPr>
              <w:jc w:val="right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m</w:t>
            </w:r>
            <w:r w:rsidR="008820CD" w:rsidRPr="008820CD"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utatie</w:t>
            </w:r>
          </w:p>
          <w:p w:rsidR="00982D32" w:rsidRPr="008820CD" w:rsidRDefault="00982D32" w:rsidP="00F3260E">
            <w:pPr>
              <w:jc w:val="right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dossiers</w:t>
            </w:r>
          </w:p>
        </w:tc>
        <w:tc>
          <w:tcPr>
            <w:tcW w:w="1022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5B9BD5" w:fill="5B9BD5"/>
            <w:noWrap/>
            <w:vAlign w:val="center"/>
            <w:hideMark/>
          </w:tcPr>
          <w:p w:rsidR="008820CD" w:rsidRPr="008820CD" w:rsidRDefault="00982D32" w:rsidP="00F3260E">
            <w:pPr>
              <w:jc w:val="right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t</w:t>
            </w:r>
            <w:r w:rsidR="008820CD" w:rsidRPr="008820CD"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otaal</w:t>
            </w:r>
          </w:p>
        </w:tc>
        <w:tc>
          <w:tcPr>
            <w:tcW w:w="1275" w:type="dxa"/>
            <w:tcBorders>
              <w:top w:val="single" w:sz="4" w:space="0" w:color="5B9BD5"/>
              <w:left w:val="nil"/>
              <w:bottom w:val="nil"/>
              <w:right w:val="single" w:sz="4" w:space="0" w:color="A6A6A6" w:themeColor="background1" w:themeShade="A6"/>
            </w:tcBorders>
            <w:shd w:val="clear" w:color="5B9BD5" w:fill="5B9BD5"/>
            <w:noWrap/>
            <w:vAlign w:val="center"/>
            <w:hideMark/>
          </w:tcPr>
          <w:p w:rsidR="008820CD" w:rsidRPr="008820CD" w:rsidRDefault="008820CD" w:rsidP="00F3260E">
            <w:pPr>
              <w:jc w:val="right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aandeel mutatie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A6A6A6" w:themeColor="background1" w:themeShade="A6"/>
              <w:bottom w:val="nil"/>
              <w:right w:val="single" w:sz="4" w:space="0" w:color="5B9BD5"/>
            </w:tcBorders>
            <w:shd w:val="clear" w:color="5B9BD5" w:fill="5B9BD5"/>
            <w:vAlign w:val="center"/>
            <w:hideMark/>
          </w:tcPr>
          <w:p w:rsidR="008820CD" w:rsidRPr="008820CD" w:rsidRDefault="008820CD" w:rsidP="00F3260E">
            <w:pPr>
              <w:jc w:val="right"/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b/>
                <w:bCs/>
                <w:color w:val="FFFFFF"/>
                <w:szCs w:val="22"/>
                <w:lang w:val="nl-BE" w:eastAsia="nl-BE"/>
              </w:rPr>
              <w:t>t.o.v. openstaande dossiers</w:t>
            </w:r>
          </w:p>
        </w:tc>
      </w:tr>
      <w:tr w:rsidR="008820CD" w:rsidRPr="008820CD" w:rsidTr="00F3260E">
        <w:trPr>
          <w:trHeight w:val="300"/>
        </w:trPr>
        <w:tc>
          <w:tcPr>
            <w:tcW w:w="2126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332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2.571</w:t>
            </w:r>
          </w:p>
        </w:tc>
        <w:tc>
          <w:tcPr>
            <w:tcW w:w="1332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818</w:t>
            </w:r>
          </w:p>
        </w:tc>
        <w:tc>
          <w:tcPr>
            <w:tcW w:w="1022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3.389</w:t>
            </w:r>
          </w:p>
        </w:tc>
        <w:tc>
          <w:tcPr>
            <w:tcW w:w="1275" w:type="dxa"/>
            <w:tcBorders>
              <w:top w:val="single" w:sz="4" w:space="0" w:color="ABABAB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24%</w:t>
            </w:r>
          </w:p>
        </w:tc>
        <w:tc>
          <w:tcPr>
            <w:tcW w:w="1701" w:type="dxa"/>
            <w:tcBorders>
              <w:top w:val="single" w:sz="4" w:space="0" w:color="ABABAB"/>
              <w:left w:val="single" w:sz="4" w:space="0" w:color="A6A6A6" w:themeColor="background1" w:themeShade="A6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7,3%</w:t>
            </w:r>
          </w:p>
        </w:tc>
      </w:tr>
      <w:tr w:rsidR="008820CD" w:rsidRPr="008820CD" w:rsidTr="00F3260E">
        <w:trPr>
          <w:trHeight w:val="300"/>
        </w:trPr>
        <w:tc>
          <w:tcPr>
            <w:tcW w:w="2126" w:type="dxa"/>
            <w:tcBorders>
              <w:top w:val="single" w:sz="4" w:space="0" w:color="5B9BD5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LIMBURG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1.034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202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1.236</w:t>
            </w:r>
          </w:p>
        </w:tc>
        <w:tc>
          <w:tcPr>
            <w:tcW w:w="1275" w:type="dxa"/>
            <w:tcBorders>
              <w:top w:val="single" w:sz="4" w:space="0" w:color="5B9BD5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16%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A6A6A6" w:themeColor="background1" w:themeShade="A6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8,4%</w:t>
            </w:r>
          </w:p>
        </w:tc>
      </w:tr>
      <w:tr w:rsidR="008820CD" w:rsidRPr="008820CD" w:rsidTr="00F3260E">
        <w:trPr>
          <w:trHeight w:val="300"/>
        </w:trPr>
        <w:tc>
          <w:tcPr>
            <w:tcW w:w="2126" w:type="dxa"/>
            <w:tcBorders>
              <w:top w:val="single" w:sz="4" w:space="0" w:color="5B9BD5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1.718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455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2.173</w:t>
            </w:r>
          </w:p>
        </w:tc>
        <w:tc>
          <w:tcPr>
            <w:tcW w:w="1275" w:type="dxa"/>
            <w:tcBorders>
              <w:top w:val="single" w:sz="4" w:space="0" w:color="5B9BD5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21%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A6A6A6" w:themeColor="background1" w:themeShade="A6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5,7%</w:t>
            </w:r>
          </w:p>
        </w:tc>
      </w:tr>
      <w:tr w:rsidR="008820CD" w:rsidRPr="008820CD" w:rsidTr="00F3260E">
        <w:trPr>
          <w:trHeight w:val="300"/>
        </w:trPr>
        <w:tc>
          <w:tcPr>
            <w:tcW w:w="2126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VLAAMS-BRABANT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787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227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1.014</w:t>
            </w:r>
          </w:p>
        </w:tc>
        <w:tc>
          <w:tcPr>
            <w:tcW w:w="127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22%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A6A6A6" w:themeColor="background1" w:themeShade="A6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7,2%</w:t>
            </w:r>
          </w:p>
        </w:tc>
      </w:tr>
      <w:tr w:rsidR="008820CD" w:rsidRPr="008820CD" w:rsidTr="00F3260E">
        <w:trPr>
          <w:trHeight w:val="300"/>
        </w:trPr>
        <w:tc>
          <w:tcPr>
            <w:tcW w:w="2126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WEST-VLAANDEREN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1.889</w:t>
            </w:r>
          </w:p>
        </w:tc>
        <w:tc>
          <w:tcPr>
            <w:tcW w:w="1332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285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ABABAB"/>
              <w:bottom w:val="single" w:sz="4" w:space="0" w:color="5B9BD5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2.174</w:t>
            </w:r>
          </w:p>
        </w:tc>
        <w:tc>
          <w:tcPr>
            <w:tcW w:w="127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13%</w:t>
            </w: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A6A6A6" w:themeColor="background1" w:themeShade="A6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8820CD" w:rsidRPr="008820CD" w:rsidRDefault="008820CD" w:rsidP="008820CD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20CD">
              <w:rPr>
                <w:rFonts w:ascii="Calibri" w:hAnsi="Calibri"/>
                <w:color w:val="000000"/>
                <w:szCs w:val="22"/>
                <w:lang w:val="nl-BE" w:eastAsia="nl-BE"/>
              </w:rPr>
              <w:t>9,8%</w:t>
            </w:r>
          </w:p>
        </w:tc>
      </w:tr>
    </w:tbl>
    <w:p w:rsidR="008820CD" w:rsidRPr="00982D32" w:rsidRDefault="00982D32" w:rsidP="00F3260E">
      <w:pPr>
        <w:spacing w:before="120"/>
        <w:ind w:left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Tabel: dossiers voor de toewijzing van sociale huurwoningen, 2013</w:t>
      </w:r>
    </w:p>
    <w:sectPr w:rsidR="008820CD" w:rsidRPr="00982D3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B3B"/>
    <w:multiLevelType w:val="hybridMultilevel"/>
    <w:tmpl w:val="D6B0D73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25F3E"/>
    <w:rsid w:val="000976E9"/>
    <w:rsid w:val="000C4E8C"/>
    <w:rsid w:val="000F3532"/>
    <w:rsid w:val="000F67B8"/>
    <w:rsid w:val="00210C07"/>
    <w:rsid w:val="002346BF"/>
    <w:rsid w:val="002B7438"/>
    <w:rsid w:val="002C6769"/>
    <w:rsid w:val="00301372"/>
    <w:rsid w:val="00326A58"/>
    <w:rsid w:val="003A470F"/>
    <w:rsid w:val="004F30D4"/>
    <w:rsid w:val="00540C19"/>
    <w:rsid w:val="0056360C"/>
    <w:rsid w:val="005A2334"/>
    <w:rsid w:val="005D5073"/>
    <w:rsid w:val="005E38CA"/>
    <w:rsid w:val="006563FB"/>
    <w:rsid w:val="0069528B"/>
    <w:rsid w:val="0071248C"/>
    <w:rsid w:val="007252C7"/>
    <w:rsid w:val="0075030D"/>
    <w:rsid w:val="007A2F2C"/>
    <w:rsid w:val="007B226C"/>
    <w:rsid w:val="007C07F4"/>
    <w:rsid w:val="008820CD"/>
    <w:rsid w:val="008B063F"/>
    <w:rsid w:val="008D1BFB"/>
    <w:rsid w:val="008D5DB4"/>
    <w:rsid w:val="00932B48"/>
    <w:rsid w:val="009347E0"/>
    <w:rsid w:val="00982D32"/>
    <w:rsid w:val="009D7043"/>
    <w:rsid w:val="00A51FBA"/>
    <w:rsid w:val="00AA7475"/>
    <w:rsid w:val="00AE4255"/>
    <w:rsid w:val="00AF015F"/>
    <w:rsid w:val="00B1405D"/>
    <w:rsid w:val="00B45EB2"/>
    <w:rsid w:val="00B54E2E"/>
    <w:rsid w:val="00BE425A"/>
    <w:rsid w:val="00C91441"/>
    <w:rsid w:val="00D02FE6"/>
    <w:rsid w:val="00D71D99"/>
    <w:rsid w:val="00D754F2"/>
    <w:rsid w:val="00DB41C0"/>
    <w:rsid w:val="00DC4DB6"/>
    <w:rsid w:val="00E55200"/>
    <w:rsid w:val="00E85C8D"/>
    <w:rsid w:val="00ED4AD8"/>
    <w:rsid w:val="00F3260E"/>
    <w:rsid w:val="00FA29D6"/>
    <w:rsid w:val="00FB7BA4"/>
    <w:rsid w:val="00FD237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AC4F5-886D-4B55-BA1C-70D1B334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FD23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D237C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8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AA1"/>
    <w:rsid w:val="0002225A"/>
    <w:rsid w:val="00026AA1"/>
    <w:rsid w:val="00653E81"/>
    <w:rsid w:val="008B4C8E"/>
    <w:rsid w:val="00C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C682-CE97-4A72-9D51-B31630A3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Vanholle, Maarten</cp:lastModifiedBy>
  <cp:revision>3</cp:revision>
  <cp:lastPrinted>2014-10-29T10:52:00Z</cp:lastPrinted>
  <dcterms:created xsi:type="dcterms:W3CDTF">2014-10-29T10:53:00Z</dcterms:created>
  <dcterms:modified xsi:type="dcterms:W3CDTF">2014-11-04T08:53:00Z</dcterms:modified>
</cp:coreProperties>
</file>