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9" w:rsidRPr="00AE4255" w:rsidRDefault="004F30D4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liesbeth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homans</w:t>
      </w:r>
      <w:proofErr w:type="spellEnd"/>
    </w:p>
    <w:p w:rsidR="000976E9" w:rsidRPr="00AE4255" w:rsidRDefault="004F30D4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="00AE4255" w:rsidRPr="00AE4255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vlaamse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AE4255">
        <w:rPr>
          <w:rFonts w:ascii="Verdana" w:hAnsi="Verdana"/>
          <w:sz w:val="20"/>
          <w:szCs w:val="20"/>
        </w:rPr>
        <w:t>vlaams</w:t>
      </w:r>
      <w:proofErr w:type="spellEnd"/>
      <w:r w:rsidR="00AE4255" w:rsidRP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lastRenderedPageBreak/>
        <w:t xml:space="preserve">antwoord </w:t>
      </w:r>
    </w:p>
    <w:p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5D571B">
        <w:rPr>
          <w:rFonts w:ascii="Verdana" w:hAnsi="Verdana"/>
          <w:b w:val="0"/>
          <w:sz w:val="20"/>
          <w:szCs w:val="20"/>
        </w:rPr>
        <w:t>342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E51046">
        <w:rPr>
          <w:rFonts w:ascii="Verdana" w:hAnsi="Verdana"/>
          <w:b w:val="0"/>
          <w:smallCaps w:val="0"/>
          <w:sz w:val="20"/>
          <w:szCs w:val="20"/>
        </w:rPr>
        <w:t>1</w:t>
      </w:r>
      <w:r w:rsidR="005D571B">
        <w:rPr>
          <w:rFonts w:ascii="Verdana" w:hAnsi="Verdana"/>
          <w:b w:val="0"/>
          <w:smallCaps w:val="0"/>
          <w:sz w:val="20"/>
          <w:szCs w:val="20"/>
        </w:rPr>
        <w:t>5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51764F082ECA42F1AFCE2BCCA49D02DB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5D571B">
            <w:rPr>
              <w:rFonts w:ascii="Verdana" w:hAnsi="Verdana"/>
              <w:b w:val="0"/>
              <w:smallCaps w:val="0"/>
              <w:sz w:val="20"/>
              <w:szCs w:val="20"/>
            </w:rPr>
            <w:t>januari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51764F082ECA42F1AFCE2BCCA49D02DB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5D571B">
            <w:rPr>
              <w:rFonts w:ascii="Verdana" w:hAnsi="Verdana"/>
              <w:b w:val="0"/>
              <w:smallCaps w:val="0"/>
              <w:sz w:val="20"/>
              <w:szCs w:val="20"/>
            </w:rPr>
            <w:t>2015</w:t>
          </w:r>
        </w:sdtContent>
      </w:sdt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van</w:t>
      </w:r>
      <w:r w:rsidR="00270807">
        <w:rPr>
          <w:rFonts w:ascii="Verdana" w:hAnsi="Verdana"/>
          <w:sz w:val="20"/>
          <w:szCs w:val="20"/>
        </w:rPr>
        <w:t xml:space="preserve"> </w:t>
      </w:r>
      <w:proofErr w:type="spellStart"/>
      <w:r w:rsidR="00270807" w:rsidRPr="00270807">
        <w:rPr>
          <w:rFonts w:ascii="Verdana" w:hAnsi="Verdana"/>
          <w:b/>
          <w:smallCaps/>
          <w:sz w:val="20"/>
          <w:szCs w:val="20"/>
        </w:rPr>
        <w:t>mercedes</w:t>
      </w:r>
      <w:proofErr w:type="spellEnd"/>
      <w:r w:rsidR="00270807" w:rsidRPr="00270807">
        <w:rPr>
          <w:rFonts w:ascii="Verdana" w:hAnsi="Verdana"/>
          <w:b/>
          <w:smallCaps/>
          <w:sz w:val="20"/>
          <w:szCs w:val="20"/>
        </w:rPr>
        <w:t xml:space="preserve"> v</w:t>
      </w:r>
      <w:r w:rsidR="005D571B" w:rsidRPr="00270807">
        <w:rPr>
          <w:rFonts w:ascii="Verdana" w:hAnsi="Verdana"/>
          <w:b/>
          <w:smallCaps/>
          <w:sz w:val="20"/>
          <w:szCs w:val="20"/>
        </w:rPr>
        <w:t xml:space="preserve">an </w:t>
      </w:r>
      <w:proofErr w:type="spellStart"/>
      <w:r w:rsidR="00270807" w:rsidRPr="00270807">
        <w:rPr>
          <w:rFonts w:ascii="Verdana" w:hAnsi="Verdana"/>
          <w:b/>
          <w:smallCaps/>
          <w:sz w:val="20"/>
          <w:szCs w:val="20"/>
        </w:rPr>
        <w:t>v</w:t>
      </w:r>
      <w:r w:rsidR="005D571B" w:rsidRPr="00270807">
        <w:rPr>
          <w:rFonts w:ascii="Verdana" w:hAnsi="Verdana"/>
          <w:b/>
          <w:smallCaps/>
          <w:sz w:val="20"/>
          <w:szCs w:val="20"/>
        </w:rPr>
        <w:t>olcem</w:t>
      </w:r>
      <w:proofErr w:type="spellEnd"/>
    </w:p>
    <w:p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  <w:sectPr w:rsidR="000976E9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0D8" w:rsidRPr="00994C17" w:rsidRDefault="00887021" w:rsidP="00283323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Mijn administratie beschikt niet over de gevraagde cijfergegevens. </w:t>
      </w:r>
    </w:p>
    <w:p w:rsidR="005D571B" w:rsidRDefault="005D571B" w:rsidP="005D571B">
      <w:pPr>
        <w:jc w:val="both"/>
        <w:rPr>
          <w:rFonts w:ascii="Verdana" w:hAnsi="Verdana"/>
          <w:sz w:val="20"/>
          <w:szCs w:val="20"/>
        </w:rPr>
      </w:pPr>
    </w:p>
    <w:p w:rsidR="004E606A" w:rsidRDefault="00887021" w:rsidP="002708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Mijn administratie beschikt niet over de gevraagde cijfergegevens. </w:t>
      </w:r>
      <w:r w:rsidR="0048355F">
        <w:rPr>
          <w:rFonts w:ascii="Verdana" w:hAnsi="Verdana"/>
          <w:sz w:val="20"/>
          <w:szCs w:val="20"/>
        </w:rPr>
        <w:t xml:space="preserve">Hierover moeten de </w:t>
      </w:r>
      <w:proofErr w:type="spellStart"/>
      <w:r w:rsidR="0048355F">
        <w:rPr>
          <w:rFonts w:ascii="Verdana" w:hAnsi="Verdana"/>
          <w:sz w:val="20"/>
          <w:szCs w:val="20"/>
        </w:rPr>
        <w:t>SHM’s</w:t>
      </w:r>
      <w:proofErr w:type="spellEnd"/>
      <w:r>
        <w:rPr>
          <w:rFonts w:ascii="Verdana" w:hAnsi="Verdana"/>
          <w:sz w:val="20"/>
          <w:szCs w:val="20"/>
        </w:rPr>
        <w:t xml:space="preserve"> immers</w:t>
      </w:r>
      <w:r w:rsidR="0048355F">
        <w:rPr>
          <w:rFonts w:ascii="Verdana" w:hAnsi="Verdana"/>
          <w:sz w:val="20"/>
          <w:szCs w:val="20"/>
        </w:rPr>
        <w:t xml:space="preserve"> niet rapporteren. </w:t>
      </w:r>
      <w:r w:rsidR="00655862">
        <w:rPr>
          <w:rFonts w:ascii="Verdana" w:hAnsi="Verdana"/>
          <w:sz w:val="20"/>
          <w:szCs w:val="20"/>
        </w:rPr>
        <w:t xml:space="preserve">De sociale huisvestingsmaatschappijen moeten enkel binnen een termijn van een maand na het verlijden van de verkoopakte de VMSW </w:t>
      </w:r>
      <w:r w:rsidR="0048355F">
        <w:rPr>
          <w:rFonts w:ascii="Verdana" w:hAnsi="Verdana"/>
          <w:sz w:val="20"/>
          <w:szCs w:val="20"/>
        </w:rPr>
        <w:t xml:space="preserve">hiervan </w:t>
      </w:r>
      <w:r w:rsidR="00655862">
        <w:rPr>
          <w:rFonts w:ascii="Verdana" w:hAnsi="Verdana"/>
          <w:sz w:val="20"/>
          <w:szCs w:val="20"/>
        </w:rPr>
        <w:t xml:space="preserve">op de hoogte </w:t>
      </w:r>
      <w:r w:rsidR="0048355F">
        <w:rPr>
          <w:rFonts w:ascii="Verdana" w:hAnsi="Verdana"/>
          <w:sz w:val="20"/>
          <w:szCs w:val="20"/>
        </w:rPr>
        <w:t>brengen</w:t>
      </w:r>
      <w:r w:rsidR="00655862">
        <w:rPr>
          <w:rFonts w:ascii="Verdana" w:hAnsi="Verdana"/>
          <w:sz w:val="20"/>
          <w:szCs w:val="20"/>
        </w:rPr>
        <w:t>.</w:t>
      </w:r>
    </w:p>
    <w:p w:rsidR="004E606A" w:rsidRDefault="004E606A" w:rsidP="005D571B">
      <w:pPr>
        <w:jc w:val="both"/>
        <w:rPr>
          <w:rFonts w:ascii="Verdana" w:hAnsi="Verdana"/>
          <w:sz w:val="20"/>
          <w:szCs w:val="20"/>
        </w:rPr>
      </w:pPr>
    </w:p>
    <w:p w:rsidR="005D571B" w:rsidRDefault="005D571B" w:rsidP="00655862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Hieronder </w:t>
      </w:r>
      <w:r w:rsidR="004E606A">
        <w:rPr>
          <w:rFonts w:ascii="Verdana" w:hAnsi="Verdana"/>
          <w:sz w:val="20"/>
          <w:szCs w:val="20"/>
        </w:rPr>
        <w:t xml:space="preserve">kan u </w:t>
      </w:r>
      <w:r>
        <w:rPr>
          <w:rFonts w:ascii="Verdana" w:hAnsi="Verdana"/>
          <w:sz w:val="20"/>
          <w:szCs w:val="20"/>
        </w:rPr>
        <w:t xml:space="preserve">een overzicht </w:t>
      </w:r>
      <w:r w:rsidR="004E606A">
        <w:rPr>
          <w:rFonts w:ascii="Verdana" w:hAnsi="Verdana"/>
          <w:sz w:val="20"/>
          <w:szCs w:val="20"/>
        </w:rPr>
        <w:t xml:space="preserve">terugvinden </w:t>
      </w:r>
      <w:r>
        <w:rPr>
          <w:rFonts w:ascii="Verdana" w:hAnsi="Verdana"/>
          <w:sz w:val="20"/>
          <w:szCs w:val="20"/>
        </w:rPr>
        <w:t>van het aantal sociale huurwoningen d</w:t>
      </w:r>
      <w:r w:rsidR="00544BA2">
        <w:rPr>
          <w:rFonts w:ascii="Verdana" w:hAnsi="Verdana"/>
          <w:sz w:val="20"/>
          <w:szCs w:val="20"/>
        </w:rPr>
        <w:t xml:space="preserve">ie </w:t>
      </w:r>
      <w:r>
        <w:rPr>
          <w:rFonts w:ascii="Verdana" w:hAnsi="Verdana"/>
          <w:sz w:val="20"/>
          <w:szCs w:val="20"/>
        </w:rPr>
        <w:t>verkocht</w:t>
      </w:r>
      <w:r w:rsidR="00544BA2">
        <w:rPr>
          <w:rFonts w:ascii="Verdana" w:hAnsi="Verdana"/>
          <w:sz w:val="20"/>
          <w:szCs w:val="20"/>
        </w:rPr>
        <w:t xml:space="preserve"> werden</w:t>
      </w:r>
      <w:r>
        <w:rPr>
          <w:rFonts w:ascii="Verdana" w:hAnsi="Verdana"/>
          <w:sz w:val="20"/>
          <w:szCs w:val="20"/>
        </w:rPr>
        <w:t xml:space="preserve"> in het kader van het kooprecht van de huurder, opgesplitst per provincie voor het jaar 2014:</w:t>
      </w:r>
    </w:p>
    <w:p w:rsidR="005D571B" w:rsidRDefault="005D571B" w:rsidP="005D571B">
      <w:pPr>
        <w:jc w:val="both"/>
        <w:rPr>
          <w:rFonts w:ascii="Verdana" w:hAnsi="Verdana"/>
          <w:sz w:val="20"/>
          <w:szCs w:val="20"/>
        </w:rPr>
      </w:pPr>
    </w:p>
    <w:tbl>
      <w:tblPr>
        <w:tblStyle w:val="Professioneletabel"/>
        <w:tblW w:w="0" w:type="auto"/>
        <w:tblInd w:w="392" w:type="dxa"/>
        <w:tblLook w:val="04A0" w:firstRow="1" w:lastRow="0" w:firstColumn="1" w:lastColumn="0" w:noHBand="0" w:noVBand="1"/>
      </w:tblPr>
      <w:tblGrid>
        <w:gridCol w:w="2068"/>
        <w:gridCol w:w="927"/>
      </w:tblGrid>
      <w:tr w:rsidR="005D571B" w:rsidRPr="00270807" w:rsidTr="00F4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D571B" w:rsidRPr="00270807" w:rsidRDefault="005D571B" w:rsidP="00270807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Provincie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D571B" w:rsidRPr="00270807" w:rsidRDefault="005D571B" w:rsidP="00270807">
            <w:pPr>
              <w:jc w:val="right"/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2014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5D571B" w:rsidTr="00270807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71B" w:rsidRDefault="005D571B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</w:tr>
    </w:tbl>
    <w:p w:rsidR="005D571B" w:rsidRDefault="005D571B" w:rsidP="005D571B">
      <w:pPr>
        <w:jc w:val="both"/>
        <w:rPr>
          <w:rFonts w:ascii="Verdana" w:hAnsi="Verdana"/>
          <w:sz w:val="20"/>
          <w:szCs w:val="20"/>
        </w:rPr>
      </w:pPr>
    </w:p>
    <w:p w:rsidR="005D571B" w:rsidRDefault="005D571B" w:rsidP="0027080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deze cijfers moet nog enig voorbehoud gemaakt worden</w:t>
      </w:r>
      <w:r w:rsidR="0065586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angezien er in de loop van de maand januari 2015 nog kennisgevingen van verkoop kunnen binnenkomen met betrekking tot verkopen die zijn doorgegaan in december 2014</w:t>
      </w:r>
      <w:r w:rsidR="00655862">
        <w:rPr>
          <w:rFonts w:ascii="Verdana" w:hAnsi="Verdana"/>
          <w:sz w:val="20"/>
          <w:szCs w:val="20"/>
        </w:rPr>
        <w:t>.</w:t>
      </w:r>
    </w:p>
    <w:p w:rsidR="008A52B3" w:rsidRDefault="008A52B3" w:rsidP="005D571B">
      <w:pPr>
        <w:jc w:val="both"/>
        <w:rPr>
          <w:rFonts w:ascii="Verdana" w:hAnsi="Verdana"/>
          <w:sz w:val="20"/>
          <w:szCs w:val="20"/>
        </w:rPr>
      </w:pPr>
    </w:p>
    <w:p w:rsidR="008A189B" w:rsidRDefault="008A189B" w:rsidP="002708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Hieronder vindt u een overzicht, opgesplitst per provincie, van de totale verkoopopbrengsten in 2014 van de sociale huurwoningen die werden verkocht in het kader van het kooprecht van de huurder:</w:t>
      </w:r>
    </w:p>
    <w:p w:rsidR="008A189B" w:rsidRDefault="008A189B" w:rsidP="008A189B">
      <w:pPr>
        <w:jc w:val="both"/>
        <w:rPr>
          <w:rFonts w:ascii="Verdana" w:hAnsi="Verdana"/>
          <w:sz w:val="20"/>
          <w:szCs w:val="20"/>
        </w:rPr>
      </w:pPr>
    </w:p>
    <w:tbl>
      <w:tblPr>
        <w:tblStyle w:val="Professioneletabel"/>
        <w:tblW w:w="0" w:type="auto"/>
        <w:tblInd w:w="392" w:type="dxa"/>
        <w:tblLook w:val="04A0" w:firstRow="1" w:lastRow="0" w:firstColumn="1" w:lastColumn="0" w:noHBand="0" w:noVBand="1"/>
      </w:tblPr>
      <w:tblGrid>
        <w:gridCol w:w="2563"/>
        <w:gridCol w:w="1704"/>
      </w:tblGrid>
      <w:tr w:rsidR="008A189B" w:rsidRPr="00270807" w:rsidTr="00F4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189B" w:rsidRPr="00270807" w:rsidRDefault="008A189B" w:rsidP="00270807">
            <w:pPr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Provincie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189B" w:rsidRPr="00270807" w:rsidRDefault="008A189B" w:rsidP="00270807">
            <w:pPr>
              <w:jc w:val="right"/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2014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3.950.000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3.984.480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3.257.500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1.092.500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3.695.500</w:t>
            </w:r>
          </w:p>
        </w:tc>
      </w:tr>
      <w:tr w:rsidR="008A189B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8A189B" w:rsidP="00270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 GEMIDDELDE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89B" w:rsidRDefault="00FE5480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E7459D">
              <w:rPr>
                <w:rFonts w:ascii="Verdana" w:hAnsi="Verdana"/>
                <w:sz w:val="20"/>
                <w:szCs w:val="20"/>
              </w:rPr>
              <w:t>15.979.980</w:t>
            </w:r>
          </w:p>
        </w:tc>
      </w:tr>
    </w:tbl>
    <w:p w:rsidR="003433E9" w:rsidRDefault="003433E9" w:rsidP="005D571B">
      <w:pPr>
        <w:jc w:val="both"/>
        <w:rPr>
          <w:rFonts w:ascii="Verdana" w:hAnsi="Verdana"/>
          <w:sz w:val="20"/>
          <w:szCs w:val="20"/>
        </w:rPr>
      </w:pPr>
    </w:p>
    <w:p w:rsidR="00810991" w:rsidRDefault="003433E9" w:rsidP="002708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aanvraag voor de koop van een sociale huurwoning kan niet geweigerd worden indien de hu</w:t>
      </w:r>
      <w:r w:rsidR="00655862">
        <w:rPr>
          <w:rFonts w:ascii="Verdana" w:hAnsi="Verdana"/>
          <w:sz w:val="20"/>
          <w:szCs w:val="20"/>
        </w:rPr>
        <w:t>urder aan de voorwaarden voldoet</w:t>
      </w:r>
      <w:r w:rsidR="008B3BD9">
        <w:rPr>
          <w:rFonts w:ascii="Verdana" w:hAnsi="Verdana"/>
          <w:sz w:val="20"/>
          <w:szCs w:val="20"/>
        </w:rPr>
        <w:t>.</w:t>
      </w:r>
    </w:p>
    <w:p w:rsidR="00404F30" w:rsidRDefault="00404F30" w:rsidP="00810991">
      <w:pPr>
        <w:jc w:val="both"/>
        <w:rPr>
          <w:rFonts w:ascii="Verdana" w:hAnsi="Verdana"/>
          <w:sz w:val="20"/>
          <w:szCs w:val="20"/>
        </w:rPr>
      </w:pPr>
    </w:p>
    <w:p w:rsidR="00815F99" w:rsidRDefault="00815F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87CCF" w:rsidRDefault="00087CCF" w:rsidP="002708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Hieronder vindt u een overzicht van de gemiddelde verkoopprijzen in 2014 van de sociale huurwoningen die werden verkocht in het kader van het kooprecht van de huurder, opgesplitst per provincie:</w:t>
      </w:r>
    </w:p>
    <w:p w:rsidR="00087CCF" w:rsidRDefault="00087CCF" w:rsidP="00087CCF">
      <w:pPr>
        <w:jc w:val="both"/>
        <w:rPr>
          <w:rFonts w:ascii="Verdana" w:hAnsi="Verdana"/>
          <w:sz w:val="20"/>
          <w:szCs w:val="20"/>
        </w:rPr>
      </w:pPr>
    </w:p>
    <w:tbl>
      <w:tblPr>
        <w:tblStyle w:val="Professioneletabel"/>
        <w:tblW w:w="0" w:type="auto"/>
        <w:tblInd w:w="392" w:type="dxa"/>
        <w:tblLook w:val="04A0" w:firstRow="1" w:lastRow="0" w:firstColumn="1" w:lastColumn="0" w:noHBand="0" w:noVBand="1"/>
      </w:tblPr>
      <w:tblGrid>
        <w:gridCol w:w="2563"/>
        <w:gridCol w:w="1689"/>
      </w:tblGrid>
      <w:tr w:rsidR="00087CCF" w:rsidRPr="00270807" w:rsidTr="00F42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hideMark/>
          </w:tcPr>
          <w:p w:rsidR="00087CCF" w:rsidRPr="00270807" w:rsidRDefault="00087CCF">
            <w:pPr>
              <w:jc w:val="both"/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Provincie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87CCF" w:rsidRPr="00270807" w:rsidRDefault="00087CCF" w:rsidP="00270807">
            <w:pPr>
              <w:jc w:val="right"/>
              <w:rPr>
                <w:rFonts w:ascii="Verdana" w:hAnsi="Verdana"/>
                <w:bCs w:val="0"/>
                <w:sz w:val="20"/>
                <w:szCs w:val="20"/>
              </w:rPr>
            </w:pPr>
            <w:r w:rsidRPr="00270807">
              <w:rPr>
                <w:rFonts w:ascii="Verdana" w:hAnsi="Verdana"/>
                <w:bCs w:val="0"/>
                <w:sz w:val="20"/>
                <w:szCs w:val="20"/>
              </w:rPr>
              <w:t>2014</w:t>
            </w:r>
          </w:p>
        </w:tc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€ 164.583</w:t>
            </w:r>
          </w:p>
        </w:tc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€ 153.249</w:t>
            </w:r>
          </w:p>
        </w:tc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€ 171.447</w:t>
            </w:r>
          </w:p>
        </w:tc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€ 182.083</w:t>
            </w:r>
          </w:p>
        </w:tc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€ 160.674</w:t>
            </w:r>
          </w:p>
        </w:tc>
        <w:bookmarkStart w:id="0" w:name="_GoBack"/>
        <w:bookmarkEnd w:id="0"/>
      </w:tr>
      <w:tr w:rsidR="00087CCF" w:rsidTr="00DC2294">
        <w:trPr>
          <w:trHeight w:val="25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CF" w:rsidRDefault="00087C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 GEMIDDELDE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CF" w:rsidRDefault="00087CCF" w:rsidP="0027080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€ 166.407</w:t>
            </w:r>
          </w:p>
        </w:tc>
      </w:tr>
    </w:tbl>
    <w:p w:rsidR="00404F30" w:rsidRDefault="00404F30" w:rsidP="00810991">
      <w:pPr>
        <w:jc w:val="both"/>
        <w:rPr>
          <w:rFonts w:ascii="Verdana" w:hAnsi="Verdana"/>
          <w:sz w:val="20"/>
          <w:szCs w:val="20"/>
        </w:rPr>
      </w:pPr>
    </w:p>
    <w:p w:rsidR="00805DD1" w:rsidRPr="002C5307" w:rsidRDefault="008F517C" w:rsidP="00385204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2C5307">
        <w:rPr>
          <w:rFonts w:ascii="Verdana" w:hAnsi="Verdana"/>
          <w:sz w:val="20"/>
          <w:szCs w:val="20"/>
        </w:rPr>
        <w:t>Verkochte sociale huurwoningen</w:t>
      </w:r>
      <w:r w:rsidR="002C5307" w:rsidRPr="002C5307">
        <w:rPr>
          <w:rFonts w:ascii="Verdana" w:hAnsi="Verdana"/>
          <w:sz w:val="20"/>
          <w:szCs w:val="20"/>
        </w:rPr>
        <w:t xml:space="preserve"> en sociale koopwoningen</w:t>
      </w:r>
      <w:r w:rsidRPr="002C5307">
        <w:rPr>
          <w:rFonts w:ascii="Verdana" w:hAnsi="Verdana"/>
          <w:sz w:val="20"/>
          <w:szCs w:val="20"/>
        </w:rPr>
        <w:t xml:space="preserve"> kunnen </w:t>
      </w:r>
      <w:proofErr w:type="spellStart"/>
      <w:r w:rsidRPr="002C5307">
        <w:rPr>
          <w:rFonts w:ascii="Verdana" w:hAnsi="Verdana"/>
          <w:sz w:val="20"/>
          <w:szCs w:val="20"/>
        </w:rPr>
        <w:t>wederingekocht</w:t>
      </w:r>
      <w:proofErr w:type="spellEnd"/>
      <w:r w:rsidRPr="002C5307">
        <w:rPr>
          <w:rFonts w:ascii="Verdana" w:hAnsi="Verdana"/>
          <w:sz w:val="20"/>
          <w:szCs w:val="20"/>
        </w:rPr>
        <w:t xml:space="preserve"> worden door sociale huisvestingsmaatschappijen indien de koper zijn verplichtingen niet naleeft. </w:t>
      </w:r>
      <w:r w:rsidR="00805DD1" w:rsidRPr="002C5307">
        <w:rPr>
          <w:rFonts w:ascii="Verdana" w:hAnsi="Verdana"/>
          <w:sz w:val="20"/>
          <w:szCs w:val="20"/>
        </w:rPr>
        <w:t>Er zijn enkel globale cijfergegevens beschikbaar over het</w:t>
      </w:r>
      <w:r w:rsidR="002C5307">
        <w:rPr>
          <w:rFonts w:ascii="Verdana" w:hAnsi="Verdana"/>
          <w:sz w:val="20"/>
          <w:szCs w:val="20"/>
        </w:rPr>
        <w:t xml:space="preserve"> aantal </w:t>
      </w:r>
      <w:proofErr w:type="spellStart"/>
      <w:r w:rsidR="002C5307">
        <w:rPr>
          <w:rFonts w:ascii="Verdana" w:hAnsi="Verdana"/>
          <w:sz w:val="20"/>
          <w:szCs w:val="20"/>
        </w:rPr>
        <w:t>wederingekochte</w:t>
      </w:r>
      <w:proofErr w:type="spellEnd"/>
      <w:r w:rsidR="002C5307">
        <w:rPr>
          <w:rFonts w:ascii="Verdana" w:hAnsi="Verdana"/>
          <w:sz w:val="20"/>
          <w:szCs w:val="20"/>
        </w:rPr>
        <w:t xml:space="preserve"> huur- en</w:t>
      </w:r>
      <w:r w:rsidR="00805DD1" w:rsidRPr="002C5307">
        <w:rPr>
          <w:rFonts w:ascii="Verdana" w:hAnsi="Verdana"/>
          <w:sz w:val="20"/>
          <w:szCs w:val="20"/>
        </w:rPr>
        <w:t xml:space="preserve"> koopwoningen maar geen afzonderlijke cijfergegevens over het aantal </w:t>
      </w:r>
      <w:proofErr w:type="spellStart"/>
      <w:r w:rsidR="00805DD1" w:rsidRPr="002C5307">
        <w:rPr>
          <w:rFonts w:ascii="Verdana" w:hAnsi="Verdana"/>
          <w:sz w:val="20"/>
          <w:szCs w:val="20"/>
        </w:rPr>
        <w:t>wederingekochte</w:t>
      </w:r>
      <w:proofErr w:type="spellEnd"/>
      <w:r w:rsidR="00805DD1" w:rsidRPr="002C5307">
        <w:rPr>
          <w:rFonts w:ascii="Verdana" w:hAnsi="Verdana"/>
          <w:sz w:val="20"/>
          <w:szCs w:val="20"/>
        </w:rPr>
        <w:t xml:space="preserve"> sociale huurwoningen. </w:t>
      </w:r>
    </w:p>
    <w:p w:rsidR="00805DD1" w:rsidRDefault="00805DD1" w:rsidP="00270807">
      <w:pPr>
        <w:ind w:left="284"/>
        <w:jc w:val="both"/>
        <w:rPr>
          <w:rFonts w:ascii="Verdana" w:hAnsi="Verdana"/>
          <w:sz w:val="20"/>
          <w:szCs w:val="20"/>
        </w:rPr>
      </w:pPr>
    </w:p>
    <w:p w:rsidR="00805DD1" w:rsidRDefault="00805DD1" w:rsidP="0027080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Gelet op het voorgaande, volgt hierna een overzicht van het aantal </w:t>
      </w:r>
      <w:proofErr w:type="spellStart"/>
      <w:r>
        <w:rPr>
          <w:rFonts w:ascii="Verdana" w:hAnsi="Verdana"/>
          <w:sz w:val="20"/>
          <w:szCs w:val="20"/>
        </w:rPr>
        <w:t>wederingekochte</w:t>
      </w:r>
      <w:proofErr w:type="spellEnd"/>
      <w:r>
        <w:rPr>
          <w:rFonts w:ascii="Verdana" w:hAnsi="Verdana"/>
          <w:sz w:val="20"/>
          <w:szCs w:val="20"/>
        </w:rPr>
        <w:t xml:space="preserve"> sociale huur</w:t>
      </w:r>
      <w:r w:rsidR="002C5307">
        <w:rPr>
          <w:rFonts w:ascii="Verdana" w:hAnsi="Verdana"/>
          <w:sz w:val="20"/>
          <w:szCs w:val="20"/>
        </w:rPr>
        <w:t>- en</w:t>
      </w:r>
      <w:r w:rsidR="00230C60">
        <w:rPr>
          <w:rFonts w:ascii="Verdana" w:hAnsi="Verdana"/>
          <w:sz w:val="20"/>
          <w:szCs w:val="20"/>
        </w:rPr>
        <w:t xml:space="preserve"> koop</w:t>
      </w:r>
      <w:r>
        <w:rPr>
          <w:rFonts w:ascii="Verdana" w:hAnsi="Verdana"/>
          <w:sz w:val="20"/>
          <w:szCs w:val="20"/>
        </w:rPr>
        <w:t>woningen, opgesplitst per provincie voor het jaar 2014:</w:t>
      </w:r>
    </w:p>
    <w:p w:rsidR="00805DD1" w:rsidRDefault="00805DD1" w:rsidP="00805DD1">
      <w:pPr>
        <w:jc w:val="both"/>
        <w:rPr>
          <w:rFonts w:ascii="Verdana" w:hAnsi="Verdana"/>
          <w:sz w:val="20"/>
          <w:szCs w:val="20"/>
        </w:rPr>
      </w:pPr>
    </w:p>
    <w:tbl>
      <w:tblPr>
        <w:tblW w:w="425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</w:tblGrid>
      <w:tr w:rsidR="00270807" w:rsidRPr="00270807" w:rsidTr="00F42B57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b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b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b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b/>
                <w:sz w:val="20"/>
                <w:szCs w:val="20"/>
                <w:lang w:eastAsia="nl-BE"/>
              </w:rPr>
              <w:t>2014</w:t>
            </w:r>
          </w:p>
        </w:tc>
      </w:tr>
      <w:tr w:rsidR="00805DD1" w:rsidRPr="00270807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13</w:t>
            </w:r>
          </w:p>
        </w:tc>
      </w:tr>
      <w:tr w:rsidR="00805DD1" w:rsidRPr="00270807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Vlaams-Brabant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805DD1" w:rsidRPr="00270807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805DD1" w:rsidRPr="00270807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9</w:t>
            </w:r>
          </w:p>
        </w:tc>
      </w:tr>
      <w:tr w:rsidR="00805DD1" w:rsidRPr="00270807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Pr="00270807" w:rsidRDefault="00805DD1" w:rsidP="0027080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270807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805DD1" w:rsidTr="00DC2294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Default="00F95F22" w:rsidP="00270807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eastAsia="nl-BE"/>
              </w:rPr>
              <w:t>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DD1" w:rsidRDefault="00805DD1" w:rsidP="00270807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Cs w:val="22"/>
                <w:lang w:eastAsia="nl-BE"/>
              </w:rPr>
              <w:t>32</w:t>
            </w:r>
          </w:p>
        </w:tc>
      </w:tr>
    </w:tbl>
    <w:p w:rsidR="001B5A75" w:rsidRDefault="001B5A75" w:rsidP="00810991">
      <w:pPr>
        <w:jc w:val="both"/>
        <w:rPr>
          <w:rFonts w:ascii="Verdana" w:hAnsi="Verdana"/>
          <w:sz w:val="20"/>
          <w:szCs w:val="20"/>
        </w:rPr>
      </w:pPr>
    </w:p>
    <w:p w:rsidR="002C5307" w:rsidRDefault="008251C9" w:rsidP="002C53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Mijn administratie beschikt niet over de gevraagde gegevens. </w:t>
      </w:r>
    </w:p>
    <w:p w:rsidR="004A2B9E" w:rsidRDefault="004A2B9E" w:rsidP="002C5307">
      <w:pPr>
        <w:pStyle w:val="Lijstalinea"/>
        <w:ind w:left="284"/>
        <w:jc w:val="both"/>
        <w:rPr>
          <w:rFonts w:ascii="Verdana" w:hAnsi="Verdana"/>
          <w:sz w:val="20"/>
          <w:szCs w:val="20"/>
        </w:rPr>
      </w:pPr>
    </w:p>
    <w:p w:rsidR="004A2B9E" w:rsidRPr="00810991" w:rsidRDefault="002C5307" w:rsidP="00270807">
      <w:pPr>
        <w:pStyle w:val="Lijstalinea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minister heeft</w:t>
      </w:r>
      <w:r w:rsidR="00355CA6">
        <w:rPr>
          <w:rFonts w:ascii="Verdana" w:hAnsi="Verdana"/>
          <w:sz w:val="20"/>
          <w:szCs w:val="20"/>
        </w:rPr>
        <w:t xml:space="preserve"> vooralsnog</w:t>
      </w:r>
      <w:r>
        <w:rPr>
          <w:rFonts w:ascii="Verdana" w:hAnsi="Verdana"/>
          <w:sz w:val="20"/>
          <w:szCs w:val="20"/>
        </w:rPr>
        <w:t xml:space="preserve"> niet de bedoeling om de huurders te stimuleren meer gebruik te maken van hun kooprecht. </w:t>
      </w:r>
    </w:p>
    <w:sectPr w:rsidR="004A2B9E" w:rsidRPr="0081099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DFD"/>
    <w:multiLevelType w:val="hybridMultilevel"/>
    <w:tmpl w:val="880CD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F40"/>
    <w:multiLevelType w:val="hybridMultilevel"/>
    <w:tmpl w:val="4EAC6B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2C6"/>
    <w:multiLevelType w:val="hybridMultilevel"/>
    <w:tmpl w:val="852EC5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74C334A2"/>
    <w:multiLevelType w:val="hybridMultilevel"/>
    <w:tmpl w:val="BB5E8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556A"/>
    <w:multiLevelType w:val="hybridMultilevel"/>
    <w:tmpl w:val="156E7A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3"/>
    <w:rsid w:val="00022AED"/>
    <w:rsid w:val="0002730B"/>
    <w:rsid w:val="00087CCF"/>
    <w:rsid w:val="00087F0F"/>
    <w:rsid w:val="000976E9"/>
    <w:rsid w:val="000C4E8C"/>
    <w:rsid w:val="000D719C"/>
    <w:rsid w:val="000F0692"/>
    <w:rsid w:val="000F3532"/>
    <w:rsid w:val="00117C88"/>
    <w:rsid w:val="00165C23"/>
    <w:rsid w:val="0018660F"/>
    <w:rsid w:val="001963E8"/>
    <w:rsid w:val="001B5A75"/>
    <w:rsid w:val="0020604A"/>
    <w:rsid w:val="00210C07"/>
    <w:rsid w:val="002225FC"/>
    <w:rsid w:val="00230662"/>
    <w:rsid w:val="00230C60"/>
    <w:rsid w:val="002346BF"/>
    <w:rsid w:val="00254715"/>
    <w:rsid w:val="00270807"/>
    <w:rsid w:val="002C5307"/>
    <w:rsid w:val="002E7FC1"/>
    <w:rsid w:val="00301372"/>
    <w:rsid w:val="00301DCB"/>
    <w:rsid w:val="00326A58"/>
    <w:rsid w:val="003433E9"/>
    <w:rsid w:val="00345955"/>
    <w:rsid w:val="00355CA6"/>
    <w:rsid w:val="00376F2E"/>
    <w:rsid w:val="00380AAD"/>
    <w:rsid w:val="00383C64"/>
    <w:rsid w:val="0038529F"/>
    <w:rsid w:val="003A470F"/>
    <w:rsid w:val="003D0AA5"/>
    <w:rsid w:val="003E38F4"/>
    <w:rsid w:val="003F1270"/>
    <w:rsid w:val="00404F30"/>
    <w:rsid w:val="004405AF"/>
    <w:rsid w:val="0045271E"/>
    <w:rsid w:val="00455FD5"/>
    <w:rsid w:val="00460403"/>
    <w:rsid w:val="00463AD0"/>
    <w:rsid w:val="0047332A"/>
    <w:rsid w:val="0048355F"/>
    <w:rsid w:val="004866F7"/>
    <w:rsid w:val="00497CF1"/>
    <w:rsid w:val="004A2B9E"/>
    <w:rsid w:val="004A636F"/>
    <w:rsid w:val="004E597D"/>
    <w:rsid w:val="004E606A"/>
    <w:rsid w:val="004F30D4"/>
    <w:rsid w:val="0050366B"/>
    <w:rsid w:val="00544BA2"/>
    <w:rsid w:val="0056360C"/>
    <w:rsid w:val="005A2334"/>
    <w:rsid w:val="005B3BBD"/>
    <w:rsid w:val="005D5073"/>
    <w:rsid w:val="005D571B"/>
    <w:rsid w:val="005E38CA"/>
    <w:rsid w:val="006473AC"/>
    <w:rsid w:val="00655862"/>
    <w:rsid w:val="006563FB"/>
    <w:rsid w:val="0069528B"/>
    <w:rsid w:val="00695BD4"/>
    <w:rsid w:val="006B4433"/>
    <w:rsid w:val="007070D8"/>
    <w:rsid w:val="00712296"/>
    <w:rsid w:val="0071248C"/>
    <w:rsid w:val="007252C7"/>
    <w:rsid w:val="0075030D"/>
    <w:rsid w:val="00792B4A"/>
    <w:rsid w:val="007B61CB"/>
    <w:rsid w:val="007C07F4"/>
    <w:rsid w:val="007C4198"/>
    <w:rsid w:val="007D76D3"/>
    <w:rsid w:val="007E605E"/>
    <w:rsid w:val="007F5606"/>
    <w:rsid w:val="00805DD1"/>
    <w:rsid w:val="00810991"/>
    <w:rsid w:val="00815F99"/>
    <w:rsid w:val="0081612A"/>
    <w:rsid w:val="008251C9"/>
    <w:rsid w:val="00834BDD"/>
    <w:rsid w:val="00881D00"/>
    <w:rsid w:val="00887021"/>
    <w:rsid w:val="008A189B"/>
    <w:rsid w:val="008A51E8"/>
    <w:rsid w:val="008A52B3"/>
    <w:rsid w:val="008B3BD9"/>
    <w:rsid w:val="008D1BFB"/>
    <w:rsid w:val="008D45FE"/>
    <w:rsid w:val="008D5DB4"/>
    <w:rsid w:val="008F517C"/>
    <w:rsid w:val="009325D3"/>
    <w:rsid w:val="00932B48"/>
    <w:rsid w:val="009347E0"/>
    <w:rsid w:val="009418E6"/>
    <w:rsid w:val="00951873"/>
    <w:rsid w:val="00962398"/>
    <w:rsid w:val="009900E1"/>
    <w:rsid w:val="00994C17"/>
    <w:rsid w:val="0099684F"/>
    <w:rsid w:val="009B080F"/>
    <w:rsid w:val="009B18F1"/>
    <w:rsid w:val="009C6DF1"/>
    <w:rsid w:val="009D4D89"/>
    <w:rsid w:val="009D7043"/>
    <w:rsid w:val="00A45EC7"/>
    <w:rsid w:val="00A51FBA"/>
    <w:rsid w:val="00A56F2B"/>
    <w:rsid w:val="00A94F68"/>
    <w:rsid w:val="00AA73E0"/>
    <w:rsid w:val="00AB39D8"/>
    <w:rsid w:val="00AD03FE"/>
    <w:rsid w:val="00AE4255"/>
    <w:rsid w:val="00AF015F"/>
    <w:rsid w:val="00B046E4"/>
    <w:rsid w:val="00B3502A"/>
    <w:rsid w:val="00B45EB2"/>
    <w:rsid w:val="00B54E2E"/>
    <w:rsid w:val="00B977FB"/>
    <w:rsid w:val="00BB646C"/>
    <w:rsid w:val="00BC28D9"/>
    <w:rsid w:val="00BC3553"/>
    <w:rsid w:val="00BD0F32"/>
    <w:rsid w:val="00BE425A"/>
    <w:rsid w:val="00BE691C"/>
    <w:rsid w:val="00C42190"/>
    <w:rsid w:val="00C91441"/>
    <w:rsid w:val="00CD399C"/>
    <w:rsid w:val="00CE5CB4"/>
    <w:rsid w:val="00D02FE6"/>
    <w:rsid w:val="00D5105C"/>
    <w:rsid w:val="00D71D99"/>
    <w:rsid w:val="00D754F2"/>
    <w:rsid w:val="00DA6A3E"/>
    <w:rsid w:val="00DB0B35"/>
    <w:rsid w:val="00DB41C0"/>
    <w:rsid w:val="00DC2294"/>
    <w:rsid w:val="00DC4DB6"/>
    <w:rsid w:val="00DD65F9"/>
    <w:rsid w:val="00DF0823"/>
    <w:rsid w:val="00E51046"/>
    <w:rsid w:val="00E55200"/>
    <w:rsid w:val="00E60A2D"/>
    <w:rsid w:val="00E7459D"/>
    <w:rsid w:val="00E85C8D"/>
    <w:rsid w:val="00ED4AD8"/>
    <w:rsid w:val="00EF09CB"/>
    <w:rsid w:val="00EF3C7B"/>
    <w:rsid w:val="00EF4226"/>
    <w:rsid w:val="00F40831"/>
    <w:rsid w:val="00F42B57"/>
    <w:rsid w:val="00F45D30"/>
    <w:rsid w:val="00F83339"/>
    <w:rsid w:val="00F95F22"/>
    <w:rsid w:val="00FA29D6"/>
    <w:rsid w:val="00FB7BA4"/>
    <w:rsid w:val="00FD5BF4"/>
    <w:rsid w:val="00FE5406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463A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63AD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E605E"/>
    <w:pPr>
      <w:ind w:left="720"/>
      <w:contextualSpacing/>
    </w:pPr>
  </w:style>
  <w:style w:type="table" w:styleId="Professioneletabel">
    <w:name w:val="Table Professional"/>
    <w:basedOn w:val="Standaardtabel"/>
    <w:rsid w:val="007E60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463A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63AD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E605E"/>
    <w:pPr>
      <w:ind w:left="720"/>
      <w:contextualSpacing/>
    </w:pPr>
  </w:style>
  <w:style w:type="table" w:styleId="Professioneletabel">
    <w:name w:val="Table Professional"/>
    <w:basedOn w:val="Standaardtabel"/>
    <w:rsid w:val="007E60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764F082ECA42F1AFCE2BCCA49D0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31D39-5125-4EDD-B2B6-DF55A11850FB}"/>
      </w:docPartPr>
      <w:docPartBody>
        <w:p w:rsidR="006B2AA0" w:rsidRDefault="006B2AA0">
          <w:pPr>
            <w:pStyle w:val="51764F082ECA42F1AFCE2BCCA49D02DB"/>
          </w:pPr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4C61E5"/>
    <w:rsid w:val="00522D36"/>
    <w:rsid w:val="006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764F082ECA42F1AFCE2BCCA49D02DB">
    <w:name w:val="51764F082ECA42F1AFCE2BCCA49D0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764F082ECA42F1AFCE2BCCA49D02DB">
    <w:name w:val="51764F082ECA42F1AFCE2BCCA49D0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031-F5EA-4686-ABD0-433CD959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ab1320</dc:creator>
  <cp:lastModifiedBy>Mer-Van-A</cp:lastModifiedBy>
  <cp:revision>2</cp:revision>
  <cp:lastPrinted>2015-02-06T14:00:00Z</cp:lastPrinted>
  <dcterms:created xsi:type="dcterms:W3CDTF">2015-02-16T16:21:00Z</dcterms:created>
  <dcterms:modified xsi:type="dcterms:W3CDTF">2015-02-16T16:21:00Z</dcterms:modified>
</cp:coreProperties>
</file>