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58C76" w14:textId="77777777" w:rsidR="000976E9" w:rsidRPr="00AE4255" w:rsidRDefault="00F50C3F" w:rsidP="00AE4255">
      <w:pPr>
        <w:pStyle w:val="A-NaamMinister"/>
        <w:jc w:val="both"/>
        <w:rPr>
          <w:rFonts w:ascii="Verdana" w:hAnsi="Verdana"/>
          <w:sz w:val="20"/>
          <w:szCs w:val="20"/>
        </w:rPr>
      </w:pPr>
      <w:proofErr w:type="spellStart"/>
      <w:r>
        <w:rPr>
          <w:rFonts w:ascii="Verdana" w:hAnsi="Verdana"/>
          <w:sz w:val="20"/>
          <w:szCs w:val="20"/>
        </w:rPr>
        <w:t>matthias</w:t>
      </w:r>
      <w:proofErr w:type="spellEnd"/>
      <w:r>
        <w:rPr>
          <w:rFonts w:ascii="Verdana" w:hAnsi="Verdana"/>
          <w:sz w:val="20"/>
          <w:szCs w:val="20"/>
        </w:rPr>
        <w:t xml:space="preserve"> </w:t>
      </w:r>
      <w:proofErr w:type="spellStart"/>
      <w:r>
        <w:rPr>
          <w:rFonts w:ascii="Verdana" w:hAnsi="Verdana"/>
          <w:sz w:val="20"/>
          <w:szCs w:val="20"/>
        </w:rPr>
        <w:t>diependaele</w:t>
      </w:r>
      <w:proofErr w:type="spellEnd"/>
    </w:p>
    <w:p w14:paraId="75FA53D8" w14:textId="77777777" w:rsidR="000976E9" w:rsidRPr="00AE4255" w:rsidRDefault="00AE4255" w:rsidP="00AE4255">
      <w:pPr>
        <w:pStyle w:val="A-TitelMinister"/>
        <w:jc w:val="both"/>
        <w:rPr>
          <w:rFonts w:ascii="Verdana" w:hAnsi="Verdana"/>
          <w:sz w:val="20"/>
          <w:szCs w:val="20"/>
        </w:rPr>
      </w:pPr>
      <w:proofErr w:type="spellStart"/>
      <w:r w:rsidRPr="00AE4255">
        <w:rPr>
          <w:rFonts w:ascii="Verdana" w:hAnsi="Verdana"/>
          <w:sz w:val="20"/>
          <w:szCs w:val="20"/>
        </w:rPr>
        <w:t>vlaams</w:t>
      </w:r>
      <w:proofErr w:type="spellEnd"/>
      <w:r w:rsidRPr="00AE4255">
        <w:rPr>
          <w:rFonts w:ascii="Verdana" w:hAnsi="Verdana"/>
          <w:sz w:val="20"/>
          <w:szCs w:val="20"/>
        </w:rPr>
        <w:t xml:space="preserve"> minister van </w:t>
      </w:r>
      <w:r w:rsidR="00F50C3F">
        <w:rPr>
          <w:rFonts w:ascii="Verdana" w:hAnsi="Verdana"/>
          <w:sz w:val="20"/>
          <w:szCs w:val="20"/>
        </w:rPr>
        <w:t>financiën en begroting, wonen en onroerend erfgoed</w:t>
      </w:r>
    </w:p>
    <w:p w14:paraId="1F6F8287" w14:textId="77777777" w:rsidR="000976E9" w:rsidRPr="00AE4255" w:rsidRDefault="000976E9" w:rsidP="00AE4255">
      <w:pPr>
        <w:jc w:val="both"/>
        <w:rPr>
          <w:rFonts w:ascii="Verdana" w:hAnsi="Verdana"/>
          <w:sz w:val="20"/>
          <w:szCs w:val="20"/>
        </w:rPr>
      </w:pPr>
    </w:p>
    <w:p w14:paraId="13EF2EAA" w14:textId="77777777" w:rsidR="000976E9" w:rsidRPr="00AE4255" w:rsidRDefault="000976E9" w:rsidP="00AE4255">
      <w:pPr>
        <w:pStyle w:val="A-Lijn"/>
        <w:jc w:val="both"/>
        <w:rPr>
          <w:rFonts w:ascii="Verdana" w:hAnsi="Verdana"/>
          <w:sz w:val="20"/>
          <w:szCs w:val="20"/>
        </w:rPr>
      </w:pPr>
    </w:p>
    <w:p w14:paraId="59DDFD62" w14:textId="77777777" w:rsidR="000976E9" w:rsidRPr="00AE4255" w:rsidRDefault="000976E9" w:rsidP="00AE4255">
      <w:pPr>
        <w:pStyle w:val="A-Type"/>
        <w:jc w:val="both"/>
        <w:rPr>
          <w:rFonts w:ascii="Verdana" w:hAnsi="Verdana"/>
          <w:sz w:val="20"/>
          <w:szCs w:val="20"/>
        </w:rPr>
        <w:sectPr w:rsidR="000976E9" w:rsidRPr="00AE4255">
          <w:pgSz w:w="11906" w:h="16838"/>
          <w:pgMar w:top="1417" w:right="1417" w:bottom="1417" w:left="1417" w:header="708" w:footer="708" w:gutter="0"/>
          <w:cols w:space="708"/>
          <w:docGrid w:linePitch="360"/>
        </w:sectPr>
      </w:pPr>
    </w:p>
    <w:p w14:paraId="344E7956" w14:textId="77777777" w:rsidR="00210C07" w:rsidRPr="00AE4255" w:rsidRDefault="000976E9" w:rsidP="00AE4255">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r w:rsidRPr="00AE4255">
        <w:rPr>
          <w:rFonts w:ascii="Verdana" w:hAnsi="Verdana"/>
          <w:sz w:val="20"/>
          <w:szCs w:val="20"/>
        </w:rPr>
        <w:t xml:space="preserve">antwoord </w:t>
      </w:r>
    </w:p>
    <w:p w14:paraId="41919ED3" w14:textId="6294A239" w:rsidR="000976E9" w:rsidRPr="00301372" w:rsidRDefault="0057445D" w:rsidP="00AE4255">
      <w:pPr>
        <w:pStyle w:val="A-Type"/>
        <w:jc w:val="both"/>
        <w:rPr>
          <w:rFonts w:ascii="Verdana" w:hAnsi="Verdana"/>
          <w:b w:val="0"/>
          <w:smallCaps w:val="0"/>
          <w:sz w:val="20"/>
          <w:szCs w:val="20"/>
        </w:rPr>
      </w:pPr>
      <w:r>
        <w:rPr>
          <w:rFonts w:ascii="Verdana" w:hAnsi="Verdana"/>
          <w:b w:val="0"/>
          <w:smallCaps w:val="0"/>
          <w:sz w:val="20"/>
          <w:szCs w:val="20"/>
        </w:rPr>
        <w:t xml:space="preserve">op vraag nr. </w:t>
      </w:r>
      <w:r w:rsidR="000D6047">
        <w:rPr>
          <w:rFonts w:ascii="Verdana" w:hAnsi="Verdana"/>
          <w:b w:val="0"/>
          <w:smallCaps w:val="0"/>
          <w:sz w:val="20"/>
          <w:szCs w:val="20"/>
        </w:rPr>
        <w:t>186</w:t>
      </w:r>
      <w:r w:rsidR="00FC79AC">
        <w:rPr>
          <w:rFonts w:ascii="Verdana" w:hAnsi="Verdana"/>
          <w:b w:val="0"/>
          <w:smallCaps w:val="0"/>
          <w:sz w:val="20"/>
          <w:szCs w:val="20"/>
        </w:rPr>
        <w:t xml:space="preserve"> </w:t>
      </w:r>
      <w:r w:rsidR="000976E9" w:rsidRPr="00AE4255">
        <w:rPr>
          <w:rFonts w:ascii="Verdana" w:hAnsi="Verdana"/>
          <w:b w:val="0"/>
          <w:smallCaps w:val="0"/>
          <w:sz w:val="20"/>
          <w:szCs w:val="20"/>
        </w:rPr>
        <w:t>van</w:t>
      </w:r>
      <w:r w:rsidR="00FC79AC">
        <w:rPr>
          <w:rFonts w:ascii="Verdana" w:hAnsi="Verdana"/>
          <w:b w:val="0"/>
          <w:smallCaps w:val="0"/>
          <w:sz w:val="20"/>
          <w:szCs w:val="20"/>
        </w:rPr>
        <w:t xml:space="preserve"> </w:t>
      </w:r>
      <w:r w:rsidR="000D6047">
        <w:rPr>
          <w:rFonts w:ascii="Verdana" w:hAnsi="Verdana"/>
          <w:b w:val="0"/>
          <w:smallCaps w:val="0"/>
          <w:sz w:val="20"/>
          <w:szCs w:val="20"/>
        </w:rPr>
        <w:t>31</w:t>
      </w:r>
      <w:r w:rsidR="000976E9" w:rsidRPr="00AE4255">
        <w:rPr>
          <w:rFonts w:ascii="Verdana" w:hAnsi="Verdana"/>
          <w:b w:val="0"/>
          <w:sz w:val="20"/>
          <w:szCs w:val="20"/>
        </w:rPr>
        <w:t xml:space="preserve"> </w:t>
      </w:r>
      <w:sdt>
        <w:sdtPr>
          <w:rPr>
            <w:rFonts w:ascii="Verdana" w:hAnsi="Verdana"/>
            <w:b w:val="0"/>
            <w:smallCaps w:val="0"/>
            <w:sz w:val="20"/>
            <w:szCs w:val="20"/>
          </w:rPr>
          <w:alias w:val="(maand)"/>
          <w:tag w:val="(maand)"/>
          <w:id w:val="-1527716432"/>
          <w:placeholder>
            <w:docPart w:val="DefaultPlaceholder_1082065159"/>
          </w:placeholder>
          <w:dropDownList>
            <w:listItem w:displayText="januari" w:value="januari"/>
            <w:listItem w:displayText="februari" w:value="februari"/>
            <w:listItem w:displayText="maart" w:value="maart"/>
            <w:listItem w:displayText="april" w:value="april"/>
            <w:listItem w:displayText="mei" w:value="mei"/>
            <w:listItem w:displayText="juni" w:value="juni"/>
            <w:listItem w:displayText="juli" w:value="juli"/>
            <w:listItem w:displayText="augustus" w:value="augustus"/>
            <w:listItem w:displayText="september" w:value="september"/>
            <w:listItem w:displayText="oktober" w:value="oktober"/>
            <w:listItem w:displayText="november" w:value="november"/>
            <w:listItem w:displayText="december" w:value="december"/>
          </w:dropDownList>
        </w:sdtPr>
        <w:sdtEndPr/>
        <w:sdtContent>
          <w:r w:rsidR="000D6047">
            <w:rPr>
              <w:rFonts w:ascii="Verdana" w:hAnsi="Verdana"/>
              <w:b w:val="0"/>
              <w:smallCaps w:val="0"/>
              <w:sz w:val="20"/>
              <w:szCs w:val="20"/>
            </w:rPr>
            <w:t>januari</w:t>
          </w:r>
        </w:sdtContent>
      </w:sdt>
      <w:r w:rsidR="002346BF">
        <w:rPr>
          <w:rFonts w:ascii="Verdana" w:hAnsi="Verdana"/>
          <w:b w:val="0"/>
          <w:smallCaps w:val="0"/>
          <w:sz w:val="20"/>
          <w:szCs w:val="20"/>
        </w:rPr>
        <w:t xml:space="preserve"> </w:t>
      </w:r>
      <w:r w:rsidR="00F50C3F">
        <w:rPr>
          <w:rFonts w:ascii="Verdana" w:hAnsi="Verdana"/>
          <w:b w:val="0"/>
          <w:smallCaps w:val="0"/>
          <w:sz w:val="20"/>
          <w:szCs w:val="20"/>
        </w:rPr>
        <w:t>20</w:t>
      </w:r>
      <w:r w:rsidR="000C2FD7">
        <w:rPr>
          <w:rFonts w:ascii="Verdana" w:hAnsi="Verdana"/>
          <w:b w:val="0"/>
          <w:smallCaps w:val="0"/>
          <w:sz w:val="20"/>
          <w:szCs w:val="20"/>
        </w:rPr>
        <w:t>2</w:t>
      </w:r>
      <w:r w:rsidR="000D6047">
        <w:rPr>
          <w:rFonts w:ascii="Verdana" w:hAnsi="Verdana"/>
          <w:b w:val="0"/>
          <w:smallCaps w:val="0"/>
          <w:sz w:val="20"/>
          <w:szCs w:val="20"/>
        </w:rPr>
        <w:t>2</w:t>
      </w:r>
    </w:p>
    <w:p w14:paraId="0A86E28B" w14:textId="4439FFCB" w:rsidR="000976E9" w:rsidRPr="00AE4255" w:rsidRDefault="000976E9" w:rsidP="00532932">
      <w:pPr>
        <w:pStyle w:val="A-NaamMinister"/>
        <w:jc w:val="both"/>
        <w:rPr>
          <w:rFonts w:ascii="Verdana" w:hAnsi="Verdana"/>
          <w:sz w:val="20"/>
          <w:szCs w:val="20"/>
        </w:rPr>
      </w:pPr>
      <w:r w:rsidRPr="00532932">
        <w:rPr>
          <w:rFonts w:ascii="Verdana" w:hAnsi="Verdana"/>
          <w:b w:val="0"/>
          <w:smallCaps w:val="0"/>
          <w:sz w:val="20"/>
          <w:szCs w:val="20"/>
        </w:rPr>
        <w:t>van</w:t>
      </w:r>
      <w:r w:rsidRPr="00AE4255">
        <w:rPr>
          <w:rFonts w:ascii="Verdana" w:hAnsi="Verdana"/>
          <w:sz w:val="20"/>
          <w:szCs w:val="20"/>
        </w:rPr>
        <w:t xml:space="preserve"> </w:t>
      </w:r>
      <w:proofErr w:type="spellStart"/>
      <w:r w:rsidR="000D6047">
        <w:rPr>
          <w:rFonts w:ascii="Verdana" w:hAnsi="Verdana"/>
          <w:sz w:val="20"/>
          <w:szCs w:val="20"/>
        </w:rPr>
        <w:t>mercedes</w:t>
      </w:r>
      <w:proofErr w:type="spellEnd"/>
      <w:r w:rsidR="000D6047">
        <w:rPr>
          <w:rFonts w:ascii="Verdana" w:hAnsi="Verdana"/>
          <w:sz w:val="20"/>
          <w:szCs w:val="20"/>
        </w:rPr>
        <w:t xml:space="preserve"> van </w:t>
      </w:r>
      <w:proofErr w:type="spellStart"/>
      <w:r w:rsidR="000D6047">
        <w:rPr>
          <w:rFonts w:ascii="Verdana" w:hAnsi="Verdana"/>
          <w:sz w:val="20"/>
          <w:szCs w:val="20"/>
        </w:rPr>
        <w:t>volcem</w:t>
      </w:r>
      <w:proofErr w:type="spellEnd"/>
    </w:p>
    <w:p w14:paraId="73AD9275" w14:textId="77777777" w:rsidR="00326A58" w:rsidRPr="00AE4255" w:rsidRDefault="00326A58" w:rsidP="00AE4255">
      <w:pPr>
        <w:jc w:val="both"/>
        <w:rPr>
          <w:rFonts w:ascii="Verdana" w:hAnsi="Verdana"/>
          <w:sz w:val="20"/>
          <w:szCs w:val="20"/>
        </w:rPr>
      </w:pPr>
    </w:p>
    <w:p w14:paraId="64D899E6" w14:textId="77777777" w:rsidR="000976E9" w:rsidRPr="00AE4255" w:rsidRDefault="000976E9" w:rsidP="00AE4255">
      <w:pPr>
        <w:pStyle w:val="A-Lijn"/>
        <w:jc w:val="both"/>
        <w:rPr>
          <w:rFonts w:ascii="Verdana" w:hAnsi="Verdana"/>
          <w:sz w:val="20"/>
          <w:szCs w:val="20"/>
        </w:rPr>
      </w:pPr>
    </w:p>
    <w:p w14:paraId="4657719F" w14:textId="77777777" w:rsidR="000976E9" w:rsidRDefault="000976E9" w:rsidP="00AE4255">
      <w:pPr>
        <w:jc w:val="both"/>
        <w:rPr>
          <w:rFonts w:ascii="Verdana" w:hAnsi="Verdana"/>
          <w:sz w:val="20"/>
          <w:szCs w:val="20"/>
        </w:rPr>
      </w:pPr>
    </w:p>
    <w:p w14:paraId="40A4F35D" w14:textId="7A0FAC71" w:rsidR="0026399F" w:rsidRPr="00AE4255" w:rsidRDefault="0026399F" w:rsidP="00AE4255">
      <w:pPr>
        <w:jc w:val="both"/>
        <w:rPr>
          <w:rFonts w:ascii="Verdana" w:hAnsi="Verdana"/>
          <w:sz w:val="20"/>
          <w:szCs w:val="20"/>
        </w:rPr>
        <w:sectPr w:rsidR="0026399F" w:rsidRPr="00AE4255" w:rsidSect="000976E9">
          <w:type w:val="continuous"/>
          <w:pgSz w:w="11906" w:h="16838"/>
          <w:pgMar w:top="1417" w:right="1417" w:bottom="1417" w:left="1417" w:header="708" w:footer="708" w:gutter="0"/>
          <w:cols w:space="708"/>
          <w:docGrid w:linePitch="360"/>
        </w:sectPr>
      </w:pPr>
    </w:p>
    <w:p w14:paraId="73AEF37C" w14:textId="70922D6A" w:rsidR="00566BDA" w:rsidRPr="00EB6A00" w:rsidRDefault="0026399F" w:rsidP="0026399F">
      <w:pPr>
        <w:ind w:left="426" w:hanging="426"/>
        <w:jc w:val="both"/>
        <w:rPr>
          <w:rFonts w:ascii="Verdana" w:hAnsi="Verdana"/>
          <w:sz w:val="20"/>
          <w:szCs w:val="20"/>
          <w:lang w:val="nl-BE"/>
        </w:rPr>
      </w:pPr>
      <w:bookmarkStart w:id="0" w:name="_Hlk96085190"/>
      <w:r>
        <w:rPr>
          <w:rFonts w:ascii="Verdana" w:hAnsi="Verdana"/>
          <w:sz w:val="20"/>
          <w:szCs w:val="20"/>
        </w:rPr>
        <w:t>1-</w:t>
      </w:r>
      <w:r w:rsidR="00E437E5">
        <w:rPr>
          <w:rFonts w:ascii="Verdana" w:hAnsi="Verdana"/>
          <w:sz w:val="20"/>
          <w:szCs w:val="20"/>
        </w:rPr>
        <w:t>2.</w:t>
      </w:r>
      <w:r>
        <w:rPr>
          <w:rFonts w:ascii="Verdana" w:hAnsi="Verdana"/>
          <w:sz w:val="20"/>
          <w:szCs w:val="20"/>
        </w:rPr>
        <w:tab/>
      </w:r>
      <w:r w:rsidR="00566BDA">
        <w:rPr>
          <w:rFonts w:ascii="Verdana" w:hAnsi="Verdana"/>
          <w:sz w:val="20"/>
          <w:szCs w:val="20"/>
        </w:rPr>
        <w:t xml:space="preserve">Er werden in aanslagjaar 2021 </w:t>
      </w:r>
      <w:r w:rsidR="00AF02AD">
        <w:rPr>
          <w:rFonts w:ascii="Verdana" w:hAnsi="Verdana"/>
          <w:sz w:val="20"/>
          <w:szCs w:val="20"/>
        </w:rPr>
        <w:t>167.958</w:t>
      </w:r>
      <w:r w:rsidR="00566BDA" w:rsidRPr="00EB6A00">
        <w:rPr>
          <w:rFonts w:ascii="Verdana" w:hAnsi="Verdana"/>
          <w:sz w:val="20"/>
          <w:szCs w:val="20"/>
        </w:rPr>
        <w:t xml:space="preserve"> akten geregistreerd waarop het</w:t>
      </w:r>
      <w:r w:rsidR="00610F96">
        <w:rPr>
          <w:rFonts w:ascii="Verdana" w:hAnsi="Verdana"/>
          <w:sz w:val="20"/>
          <w:szCs w:val="20"/>
        </w:rPr>
        <w:t xml:space="preserve"> </w:t>
      </w:r>
      <w:r w:rsidR="00566BDA" w:rsidRPr="00EB6A00">
        <w:rPr>
          <w:rFonts w:ascii="Verdana" w:hAnsi="Verdana"/>
          <w:sz w:val="20"/>
          <w:szCs w:val="20"/>
        </w:rPr>
        <w:t xml:space="preserve">verkooprecht werd geheven. </w:t>
      </w:r>
      <w:r w:rsidR="0094431A" w:rsidRPr="00EB6A00">
        <w:rPr>
          <w:rFonts w:ascii="Verdana" w:hAnsi="Verdana"/>
          <w:sz w:val="20"/>
          <w:szCs w:val="20"/>
        </w:rPr>
        <w:t xml:space="preserve">In </w:t>
      </w:r>
      <w:r w:rsidR="00D66D02" w:rsidRPr="00EB6A00">
        <w:rPr>
          <w:rFonts w:ascii="Verdana" w:hAnsi="Verdana"/>
          <w:sz w:val="20"/>
          <w:szCs w:val="20"/>
        </w:rPr>
        <w:t xml:space="preserve">onderstaande tabel vindt u het aantal </w:t>
      </w:r>
      <w:r w:rsidR="005C5175" w:rsidRPr="00EB6A00">
        <w:rPr>
          <w:rFonts w:ascii="Verdana" w:hAnsi="Verdana"/>
          <w:sz w:val="20"/>
          <w:szCs w:val="20"/>
        </w:rPr>
        <w:t>akten</w:t>
      </w:r>
      <w:r w:rsidR="00BB017F">
        <w:rPr>
          <w:rFonts w:ascii="Verdana" w:hAnsi="Verdana"/>
          <w:sz w:val="20"/>
          <w:szCs w:val="20"/>
        </w:rPr>
        <w:t xml:space="preserve"> en</w:t>
      </w:r>
      <w:r w:rsidR="00EB6A00">
        <w:rPr>
          <w:rFonts w:ascii="Verdana" w:hAnsi="Verdana"/>
          <w:sz w:val="20"/>
          <w:szCs w:val="20"/>
        </w:rPr>
        <w:t xml:space="preserve"> </w:t>
      </w:r>
      <w:r w:rsidR="00D66D02" w:rsidRPr="00EB6A00">
        <w:rPr>
          <w:rFonts w:ascii="Verdana" w:hAnsi="Verdana"/>
          <w:sz w:val="20"/>
          <w:szCs w:val="20"/>
        </w:rPr>
        <w:t xml:space="preserve">de verschuldigde rechten na verminderingen en vrijstellingen, opgedeeld </w:t>
      </w:r>
      <w:r w:rsidR="001150D1">
        <w:rPr>
          <w:rFonts w:ascii="Verdana" w:hAnsi="Verdana"/>
          <w:sz w:val="20"/>
          <w:szCs w:val="20"/>
        </w:rPr>
        <w:t>per transactietype</w:t>
      </w:r>
      <w:r w:rsidR="00E437E5" w:rsidRPr="00EB6A00">
        <w:rPr>
          <w:rFonts w:ascii="Verdana" w:hAnsi="Verdana"/>
          <w:sz w:val="20"/>
          <w:szCs w:val="20"/>
        </w:rPr>
        <w:t>.</w:t>
      </w:r>
      <w:r w:rsidR="00566BDA" w:rsidRPr="00EB6A00">
        <w:rPr>
          <w:rFonts w:ascii="Verdana" w:hAnsi="Verdana"/>
          <w:sz w:val="20"/>
          <w:szCs w:val="20"/>
        </w:rPr>
        <w:t xml:space="preserve"> In één akte kunnen meerdere transactietypes voorkomen.</w:t>
      </w:r>
    </w:p>
    <w:p w14:paraId="1D5BA9A1" w14:textId="26D641E1" w:rsidR="00301561" w:rsidRDefault="00301561" w:rsidP="007D3653">
      <w:pPr>
        <w:ind w:left="284"/>
        <w:jc w:val="both"/>
        <w:rPr>
          <w:rFonts w:ascii="Verdana" w:hAnsi="Verdana"/>
          <w:sz w:val="20"/>
          <w:szCs w:val="20"/>
        </w:rPr>
      </w:pPr>
    </w:p>
    <w:tbl>
      <w:tblPr>
        <w:tblStyle w:val="Tabelraster"/>
        <w:tblW w:w="0" w:type="auto"/>
        <w:tblLook w:val="04A0" w:firstRow="1" w:lastRow="0" w:firstColumn="1" w:lastColumn="0" w:noHBand="0" w:noVBand="1"/>
      </w:tblPr>
      <w:tblGrid>
        <w:gridCol w:w="4957"/>
        <w:gridCol w:w="1426"/>
        <w:gridCol w:w="2679"/>
      </w:tblGrid>
      <w:tr w:rsidR="003B427A" w:rsidRPr="003B427A" w14:paraId="4D51AB95" w14:textId="77777777" w:rsidTr="00566135">
        <w:trPr>
          <w:trHeight w:val="288"/>
        </w:trPr>
        <w:tc>
          <w:tcPr>
            <w:tcW w:w="4957" w:type="dxa"/>
            <w:noWrap/>
            <w:hideMark/>
          </w:tcPr>
          <w:p w14:paraId="59570E24" w14:textId="7E75D6AD" w:rsidR="003B427A" w:rsidRPr="00AF02AD" w:rsidRDefault="003B427A" w:rsidP="00E21903">
            <w:pPr>
              <w:jc w:val="both"/>
              <w:rPr>
                <w:rFonts w:ascii="Verdana" w:hAnsi="Verdana"/>
                <w:b/>
                <w:bCs/>
                <w:sz w:val="20"/>
                <w:szCs w:val="20"/>
              </w:rPr>
            </w:pPr>
            <w:r w:rsidRPr="00AF02AD">
              <w:rPr>
                <w:rFonts w:ascii="Verdana" w:hAnsi="Verdana"/>
                <w:b/>
                <w:bCs/>
                <w:sz w:val="20"/>
                <w:szCs w:val="20"/>
              </w:rPr>
              <w:t>Transactietype</w:t>
            </w:r>
          </w:p>
        </w:tc>
        <w:tc>
          <w:tcPr>
            <w:tcW w:w="1426" w:type="dxa"/>
            <w:noWrap/>
            <w:hideMark/>
          </w:tcPr>
          <w:p w14:paraId="7BC66CD1" w14:textId="47A3CB44" w:rsidR="003B427A" w:rsidRPr="00AF02AD" w:rsidRDefault="003B427A" w:rsidP="00E21903">
            <w:pPr>
              <w:ind w:left="284"/>
              <w:jc w:val="right"/>
              <w:rPr>
                <w:rFonts w:ascii="Verdana" w:hAnsi="Verdana"/>
                <w:b/>
                <w:bCs/>
                <w:sz w:val="20"/>
                <w:szCs w:val="20"/>
              </w:rPr>
            </w:pPr>
            <w:r w:rsidRPr="00AF02AD">
              <w:rPr>
                <w:rFonts w:ascii="Verdana" w:hAnsi="Verdana"/>
                <w:b/>
                <w:bCs/>
                <w:sz w:val="20"/>
                <w:szCs w:val="20"/>
              </w:rPr>
              <w:t>Aantal akten</w:t>
            </w:r>
          </w:p>
        </w:tc>
        <w:tc>
          <w:tcPr>
            <w:tcW w:w="2679" w:type="dxa"/>
            <w:noWrap/>
            <w:hideMark/>
          </w:tcPr>
          <w:p w14:paraId="2F3D950B" w14:textId="34EBDD87" w:rsidR="00FA52A1" w:rsidRDefault="003B427A" w:rsidP="00E21903">
            <w:pPr>
              <w:ind w:left="284"/>
              <w:jc w:val="right"/>
              <w:rPr>
                <w:rFonts w:ascii="Verdana" w:hAnsi="Verdana"/>
                <w:b/>
                <w:bCs/>
                <w:sz w:val="20"/>
                <w:szCs w:val="20"/>
              </w:rPr>
            </w:pPr>
            <w:r w:rsidRPr="00AF02AD">
              <w:rPr>
                <w:rFonts w:ascii="Verdana" w:hAnsi="Verdana"/>
                <w:b/>
                <w:bCs/>
                <w:sz w:val="20"/>
                <w:szCs w:val="20"/>
              </w:rPr>
              <w:t xml:space="preserve">Verschuldigde rechten </w:t>
            </w:r>
          </w:p>
          <w:p w14:paraId="064983CB" w14:textId="0EC8DB78" w:rsidR="003B427A" w:rsidRPr="00AF02AD" w:rsidRDefault="00FA52A1" w:rsidP="00E21903">
            <w:pPr>
              <w:ind w:left="284"/>
              <w:jc w:val="right"/>
              <w:rPr>
                <w:rFonts w:ascii="Verdana" w:hAnsi="Verdana"/>
                <w:b/>
                <w:bCs/>
                <w:sz w:val="20"/>
                <w:szCs w:val="20"/>
              </w:rPr>
            </w:pPr>
            <w:r>
              <w:rPr>
                <w:rFonts w:ascii="Verdana" w:hAnsi="Verdana"/>
                <w:b/>
                <w:bCs/>
                <w:sz w:val="20"/>
                <w:szCs w:val="20"/>
              </w:rPr>
              <w:t>(in euro)</w:t>
            </w:r>
            <w:r w:rsidR="003B427A" w:rsidRPr="00AF02AD">
              <w:rPr>
                <w:rFonts w:ascii="Verdana" w:hAnsi="Verdana"/>
                <w:b/>
                <w:bCs/>
                <w:sz w:val="20"/>
                <w:szCs w:val="20"/>
              </w:rPr>
              <w:t xml:space="preserve"> </w:t>
            </w:r>
          </w:p>
        </w:tc>
      </w:tr>
      <w:tr w:rsidR="003B427A" w:rsidRPr="003B427A" w14:paraId="2EC38BD6" w14:textId="77777777" w:rsidTr="00566135">
        <w:trPr>
          <w:trHeight w:val="288"/>
        </w:trPr>
        <w:tc>
          <w:tcPr>
            <w:tcW w:w="4957" w:type="dxa"/>
            <w:noWrap/>
            <w:hideMark/>
          </w:tcPr>
          <w:p w14:paraId="51304CBE" w14:textId="379A346C" w:rsidR="003B427A" w:rsidRPr="003B427A" w:rsidRDefault="003B427A" w:rsidP="00610F96">
            <w:pPr>
              <w:rPr>
                <w:rFonts w:ascii="Verdana" w:hAnsi="Verdana"/>
                <w:sz w:val="20"/>
                <w:szCs w:val="20"/>
              </w:rPr>
            </w:pPr>
            <w:bookmarkStart w:id="1" w:name="_Hlk96590132"/>
            <w:r w:rsidRPr="003B427A">
              <w:rPr>
                <w:rFonts w:ascii="Verdana" w:hAnsi="Verdana"/>
                <w:sz w:val="20"/>
                <w:szCs w:val="20"/>
              </w:rPr>
              <w:t>Ruil</w:t>
            </w:r>
            <w:r>
              <w:rPr>
                <w:rFonts w:ascii="Verdana" w:hAnsi="Verdana"/>
                <w:sz w:val="20"/>
                <w:szCs w:val="20"/>
              </w:rPr>
              <w:t xml:space="preserve"> </w:t>
            </w:r>
            <w:r w:rsidRPr="003B427A">
              <w:rPr>
                <w:rFonts w:ascii="Verdana" w:hAnsi="Verdana"/>
                <w:sz w:val="20"/>
                <w:szCs w:val="20"/>
              </w:rPr>
              <w:t>10%</w:t>
            </w:r>
          </w:p>
        </w:tc>
        <w:tc>
          <w:tcPr>
            <w:tcW w:w="1426" w:type="dxa"/>
            <w:noWrap/>
            <w:hideMark/>
          </w:tcPr>
          <w:p w14:paraId="44FCF827" w14:textId="579E5D5B" w:rsidR="003B427A" w:rsidRPr="003B427A" w:rsidRDefault="00F112F3" w:rsidP="00AF02AD">
            <w:pPr>
              <w:ind w:left="284"/>
              <w:jc w:val="right"/>
              <w:rPr>
                <w:rFonts w:ascii="Verdana" w:hAnsi="Verdana"/>
                <w:sz w:val="20"/>
                <w:szCs w:val="20"/>
              </w:rPr>
            </w:pPr>
            <w:r>
              <w:rPr>
                <w:rFonts w:ascii="Verdana" w:hAnsi="Verdana"/>
                <w:sz w:val="20"/>
                <w:szCs w:val="20"/>
              </w:rPr>
              <w:t>768</w:t>
            </w:r>
          </w:p>
        </w:tc>
        <w:tc>
          <w:tcPr>
            <w:tcW w:w="2679" w:type="dxa"/>
            <w:noWrap/>
            <w:hideMark/>
          </w:tcPr>
          <w:p w14:paraId="37C8D5EC" w14:textId="7E2D3815" w:rsidR="003B427A" w:rsidRPr="003B427A" w:rsidRDefault="00F112F3" w:rsidP="00663A12">
            <w:pPr>
              <w:ind w:left="284"/>
              <w:jc w:val="right"/>
              <w:rPr>
                <w:rFonts w:ascii="Verdana" w:hAnsi="Verdana"/>
                <w:sz w:val="20"/>
                <w:szCs w:val="20"/>
              </w:rPr>
            </w:pPr>
            <w:r w:rsidRPr="00F112F3">
              <w:rPr>
                <w:rFonts w:ascii="Verdana" w:hAnsi="Verdana"/>
                <w:sz w:val="20"/>
                <w:szCs w:val="20"/>
              </w:rPr>
              <w:t>5.139.417</w:t>
            </w:r>
          </w:p>
        </w:tc>
      </w:tr>
      <w:tr w:rsidR="003B427A" w:rsidRPr="003B427A" w14:paraId="3D77FF21" w14:textId="77777777" w:rsidTr="00566135">
        <w:trPr>
          <w:trHeight w:val="288"/>
        </w:trPr>
        <w:tc>
          <w:tcPr>
            <w:tcW w:w="4957" w:type="dxa"/>
            <w:noWrap/>
            <w:hideMark/>
          </w:tcPr>
          <w:p w14:paraId="1ED86710" w14:textId="31D9F1F2" w:rsidR="003B427A" w:rsidRPr="003B427A" w:rsidRDefault="003B427A" w:rsidP="00610F96">
            <w:pPr>
              <w:rPr>
                <w:rFonts w:ascii="Verdana" w:hAnsi="Verdana"/>
                <w:sz w:val="20"/>
                <w:szCs w:val="20"/>
              </w:rPr>
            </w:pPr>
            <w:r w:rsidRPr="003B427A">
              <w:rPr>
                <w:rFonts w:ascii="Verdana" w:hAnsi="Verdana"/>
                <w:sz w:val="20"/>
                <w:szCs w:val="20"/>
              </w:rPr>
              <w:t>Ruil</w:t>
            </w:r>
            <w:r>
              <w:rPr>
                <w:rFonts w:ascii="Verdana" w:hAnsi="Verdana"/>
                <w:sz w:val="20"/>
                <w:szCs w:val="20"/>
              </w:rPr>
              <w:t xml:space="preserve"> </w:t>
            </w:r>
            <w:r w:rsidRPr="003B427A">
              <w:rPr>
                <w:rFonts w:ascii="Verdana" w:hAnsi="Verdana"/>
                <w:sz w:val="20"/>
                <w:szCs w:val="20"/>
              </w:rPr>
              <w:t>4%</w:t>
            </w:r>
          </w:p>
        </w:tc>
        <w:tc>
          <w:tcPr>
            <w:tcW w:w="1426" w:type="dxa"/>
            <w:noWrap/>
            <w:hideMark/>
          </w:tcPr>
          <w:p w14:paraId="6EF68DE0" w14:textId="27CD6FBF" w:rsidR="003B427A" w:rsidRPr="003B427A" w:rsidRDefault="00F112F3" w:rsidP="00AF02AD">
            <w:pPr>
              <w:ind w:left="284"/>
              <w:jc w:val="right"/>
              <w:rPr>
                <w:rFonts w:ascii="Verdana" w:hAnsi="Verdana"/>
                <w:sz w:val="20"/>
                <w:szCs w:val="20"/>
              </w:rPr>
            </w:pPr>
            <w:r w:rsidRPr="00F112F3">
              <w:rPr>
                <w:rFonts w:ascii="Verdana" w:hAnsi="Verdana"/>
                <w:sz w:val="20"/>
                <w:szCs w:val="20"/>
              </w:rPr>
              <w:t>46</w:t>
            </w:r>
          </w:p>
        </w:tc>
        <w:tc>
          <w:tcPr>
            <w:tcW w:w="2679" w:type="dxa"/>
            <w:noWrap/>
            <w:hideMark/>
          </w:tcPr>
          <w:p w14:paraId="03ADCC01" w14:textId="5B4AB689" w:rsidR="003B427A" w:rsidRPr="003B427A" w:rsidRDefault="00F112F3" w:rsidP="00663A12">
            <w:pPr>
              <w:ind w:left="284"/>
              <w:jc w:val="right"/>
              <w:rPr>
                <w:rFonts w:ascii="Verdana" w:hAnsi="Verdana"/>
                <w:sz w:val="20"/>
                <w:szCs w:val="20"/>
              </w:rPr>
            </w:pPr>
            <w:r w:rsidRPr="00F112F3">
              <w:rPr>
                <w:rFonts w:ascii="Verdana" w:hAnsi="Verdana"/>
                <w:sz w:val="20"/>
                <w:szCs w:val="20"/>
              </w:rPr>
              <w:t>371.619</w:t>
            </w:r>
          </w:p>
        </w:tc>
      </w:tr>
      <w:tr w:rsidR="003B427A" w:rsidRPr="003B427A" w14:paraId="1775D5FC" w14:textId="77777777" w:rsidTr="00566135">
        <w:trPr>
          <w:trHeight w:val="288"/>
        </w:trPr>
        <w:tc>
          <w:tcPr>
            <w:tcW w:w="4957" w:type="dxa"/>
            <w:noWrap/>
            <w:hideMark/>
          </w:tcPr>
          <w:p w14:paraId="3F837ABE" w14:textId="4606D197" w:rsidR="003B427A" w:rsidRPr="003B427A" w:rsidRDefault="003B427A" w:rsidP="00610F96">
            <w:pPr>
              <w:rPr>
                <w:rFonts w:ascii="Verdana" w:hAnsi="Verdana"/>
                <w:sz w:val="20"/>
                <w:szCs w:val="20"/>
              </w:rPr>
            </w:pPr>
            <w:r w:rsidRPr="003B427A">
              <w:rPr>
                <w:rFonts w:ascii="Verdana" w:hAnsi="Verdana"/>
                <w:sz w:val="20"/>
                <w:szCs w:val="20"/>
              </w:rPr>
              <w:t>Ruil onbebouwde landgoederen</w:t>
            </w:r>
            <w:r>
              <w:rPr>
                <w:rFonts w:ascii="Verdana" w:hAnsi="Verdana"/>
                <w:sz w:val="20"/>
                <w:szCs w:val="20"/>
              </w:rPr>
              <w:t xml:space="preserve"> </w:t>
            </w:r>
            <w:r w:rsidRPr="003B427A">
              <w:rPr>
                <w:rFonts w:ascii="Verdana" w:hAnsi="Verdana"/>
                <w:sz w:val="20"/>
                <w:szCs w:val="20"/>
              </w:rPr>
              <w:t>6%</w:t>
            </w:r>
            <w:r w:rsidR="009708C2">
              <w:rPr>
                <w:rStyle w:val="Voetnootmarkering"/>
                <w:rFonts w:ascii="Verdana" w:hAnsi="Verdana"/>
                <w:sz w:val="20"/>
                <w:szCs w:val="20"/>
              </w:rPr>
              <w:footnoteReference w:id="1"/>
            </w:r>
          </w:p>
        </w:tc>
        <w:tc>
          <w:tcPr>
            <w:tcW w:w="1426" w:type="dxa"/>
            <w:noWrap/>
            <w:hideMark/>
          </w:tcPr>
          <w:p w14:paraId="32089820" w14:textId="5C499C88" w:rsidR="003B427A" w:rsidRPr="003B427A" w:rsidRDefault="00F112F3" w:rsidP="00AF02AD">
            <w:pPr>
              <w:ind w:left="284"/>
              <w:jc w:val="right"/>
              <w:rPr>
                <w:rFonts w:ascii="Verdana" w:hAnsi="Verdana"/>
                <w:sz w:val="20"/>
                <w:szCs w:val="20"/>
              </w:rPr>
            </w:pPr>
            <w:r w:rsidRPr="00F112F3">
              <w:rPr>
                <w:rFonts w:ascii="Verdana" w:hAnsi="Verdana"/>
                <w:sz w:val="20"/>
                <w:szCs w:val="20"/>
              </w:rPr>
              <w:t>20</w:t>
            </w:r>
          </w:p>
        </w:tc>
        <w:tc>
          <w:tcPr>
            <w:tcW w:w="2679" w:type="dxa"/>
            <w:noWrap/>
            <w:hideMark/>
          </w:tcPr>
          <w:p w14:paraId="0EC0D9F2" w14:textId="164F9428" w:rsidR="003B427A" w:rsidRPr="003B427A" w:rsidRDefault="00F112F3" w:rsidP="00663A12">
            <w:pPr>
              <w:ind w:left="284"/>
              <w:jc w:val="right"/>
              <w:rPr>
                <w:rFonts w:ascii="Verdana" w:hAnsi="Verdana"/>
                <w:sz w:val="20"/>
                <w:szCs w:val="20"/>
              </w:rPr>
            </w:pPr>
            <w:r w:rsidRPr="00F112F3">
              <w:rPr>
                <w:rFonts w:ascii="Verdana" w:hAnsi="Verdana"/>
                <w:sz w:val="20"/>
                <w:szCs w:val="20"/>
              </w:rPr>
              <w:t>15.680</w:t>
            </w:r>
          </w:p>
        </w:tc>
      </w:tr>
      <w:tr w:rsidR="003B427A" w:rsidRPr="003B427A" w14:paraId="1BA81793" w14:textId="77777777" w:rsidTr="00566135">
        <w:trPr>
          <w:trHeight w:val="288"/>
        </w:trPr>
        <w:tc>
          <w:tcPr>
            <w:tcW w:w="4957" w:type="dxa"/>
            <w:noWrap/>
            <w:hideMark/>
          </w:tcPr>
          <w:p w14:paraId="1E9ED973" w14:textId="65AB7386"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1,5% - sociaal tarief</w:t>
            </w:r>
            <w:r w:rsidR="008E349F">
              <w:rPr>
                <w:rStyle w:val="Voetnootmarkering"/>
                <w:rFonts w:ascii="Verdana" w:hAnsi="Verdana"/>
                <w:sz w:val="20"/>
                <w:szCs w:val="20"/>
              </w:rPr>
              <w:footnoteReference w:id="2"/>
            </w:r>
          </w:p>
        </w:tc>
        <w:tc>
          <w:tcPr>
            <w:tcW w:w="1426" w:type="dxa"/>
            <w:noWrap/>
            <w:hideMark/>
          </w:tcPr>
          <w:p w14:paraId="4F08CD65" w14:textId="05F387EB" w:rsidR="003B427A" w:rsidRPr="003B427A" w:rsidRDefault="00F112F3" w:rsidP="00AF02AD">
            <w:pPr>
              <w:ind w:left="284"/>
              <w:jc w:val="right"/>
              <w:rPr>
                <w:rFonts w:ascii="Verdana" w:hAnsi="Verdana"/>
                <w:sz w:val="20"/>
                <w:szCs w:val="20"/>
              </w:rPr>
            </w:pPr>
            <w:r w:rsidRPr="00F112F3">
              <w:rPr>
                <w:rFonts w:ascii="Verdana" w:hAnsi="Verdana"/>
                <w:sz w:val="20"/>
                <w:szCs w:val="20"/>
              </w:rPr>
              <w:t>144</w:t>
            </w:r>
          </w:p>
        </w:tc>
        <w:tc>
          <w:tcPr>
            <w:tcW w:w="2679" w:type="dxa"/>
            <w:noWrap/>
            <w:hideMark/>
          </w:tcPr>
          <w:p w14:paraId="1FBC7382" w14:textId="49568A50" w:rsidR="003B427A" w:rsidRPr="003B427A" w:rsidRDefault="00F112F3" w:rsidP="00663A12">
            <w:pPr>
              <w:ind w:left="284"/>
              <w:jc w:val="right"/>
              <w:rPr>
                <w:rFonts w:ascii="Verdana" w:hAnsi="Verdana"/>
                <w:sz w:val="20"/>
                <w:szCs w:val="20"/>
              </w:rPr>
            </w:pPr>
            <w:r w:rsidRPr="00F112F3">
              <w:rPr>
                <w:rFonts w:ascii="Verdana" w:hAnsi="Verdana"/>
                <w:sz w:val="20"/>
                <w:szCs w:val="20"/>
              </w:rPr>
              <w:t>420.247</w:t>
            </w:r>
          </w:p>
        </w:tc>
      </w:tr>
      <w:tr w:rsidR="003B427A" w:rsidRPr="003B427A" w14:paraId="6CCB956F" w14:textId="77777777" w:rsidTr="00566135">
        <w:trPr>
          <w:trHeight w:val="288"/>
        </w:trPr>
        <w:tc>
          <w:tcPr>
            <w:tcW w:w="4957" w:type="dxa"/>
            <w:noWrap/>
            <w:hideMark/>
          </w:tcPr>
          <w:p w14:paraId="1A9D119C" w14:textId="31AF1227"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10% - gewoon tarief</w:t>
            </w:r>
          </w:p>
        </w:tc>
        <w:tc>
          <w:tcPr>
            <w:tcW w:w="1426" w:type="dxa"/>
            <w:noWrap/>
            <w:hideMark/>
          </w:tcPr>
          <w:p w14:paraId="16B951C9" w14:textId="11FB8586" w:rsidR="003B427A" w:rsidRPr="003B427A" w:rsidRDefault="00F112F3" w:rsidP="00AF02AD">
            <w:pPr>
              <w:ind w:left="284"/>
              <w:jc w:val="right"/>
              <w:rPr>
                <w:rFonts w:ascii="Verdana" w:hAnsi="Verdana"/>
                <w:sz w:val="20"/>
                <w:szCs w:val="20"/>
              </w:rPr>
            </w:pPr>
            <w:r w:rsidRPr="00F112F3">
              <w:rPr>
                <w:rFonts w:ascii="Verdana" w:hAnsi="Verdana"/>
                <w:sz w:val="20"/>
                <w:szCs w:val="20"/>
              </w:rPr>
              <w:t>107.374</w:t>
            </w:r>
          </w:p>
        </w:tc>
        <w:tc>
          <w:tcPr>
            <w:tcW w:w="2679" w:type="dxa"/>
            <w:noWrap/>
            <w:hideMark/>
          </w:tcPr>
          <w:p w14:paraId="5E8343C4" w14:textId="5FE4935B" w:rsidR="003B427A" w:rsidRPr="003B427A" w:rsidRDefault="00F112F3" w:rsidP="00663A12">
            <w:pPr>
              <w:ind w:left="284"/>
              <w:jc w:val="right"/>
              <w:rPr>
                <w:rFonts w:ascii="Verdana" w:hAnsi="Verdana"/>
                <w:sz w:val="20"/>
                <w:szCs w:val="20"/>
              </w:rPr>
            </w:pPr>
            <w:r w:rsidRPr="00F112F3">
              <w:rPr>
                <w:rFonts w:ascii="Verdana" w:hAnsi="Verdana"/>
                <w:sz w:val="20"/>
                <w:szCs w:val="20"/>
              </w:rPr>
              <w:t>2.049.271.001</w:t>
            </w:r>
          </w:p>
        </w:tc>
      </w:tr>
      <w:tr w:rsidR="003B427A" w:rsidRPr="003B427A" w14:paraId="54B6C53E" w14:textId="77777777" w:rsidTr="00566135">
        <w:trPr>
          <w:trHeight w:val="288"/>
        </w:trPr>
        <w:tc>
          <w:tcPr>
            <w:tcW w:w="4957" w:type="dxa"/>
            <w:noWrap/>
            <w:hideMark/>
          </w:tcPr>
          <w:p w14:paraId="296DD4DC" w14:textId="66176083"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12,5% - oud verkooprecht</w:t>
            </w:r>
          </w:p>
        </w:tc>
        <w:tc>
          <w:tcPr>
            <w:tcW w:w="1426" w:type="dxa"/>
            <w:noWrap/>
            <w:hideMark/>
          </w:tcPr>
          <w:p w14:paraId="758BC32D" w14:textId="1B26355E" w:rsidR="003B427A" w:rsidRPr="003B427A" w:rsidRDefault="00F112F3" w:rsidP="00AF02AD">
            <w:pPr>
              <w:ind w:left="284"/>
              <w:jc w:val="right"/>
              <w:rPr>
                <w:rFonts w:ascii="Verdana" w:hAnsi="Verdana"/>
                <w:sz w:val="20"/>
                <w:szCs w:val="20"/>
              </w:rPr>
            </w:pPr>
            <w:r w:rsidRPr="00F112F3">
              <w:rPr>
                <w:rFonts w:ascii="Verdana" w:hAnsi="Verdana"/>
                <w:sz w:val="20"/>
                <w:szCs w:val="20"/>
              </w:rPr>
              <w:t>58</w:t>
            </w:r>
          </w:p>
        </w:tc>
        <w:tc>
          <w:tcPr>
            <w:tcW w:w="2679" w:type="dxa"/>
            <w:noWrap/>
            <w:hideMark/>
          </w:tcPr>
          <w:p w14:paraId="0DCB8B97" w14:textId="7EA2B01F" w:rsidR="003B427A" w:rsidRPr="003B427A" w:rsidRDefault="00F112F3" w:rsidP="00663A12">
            <w:pPr>
              <w:ind w:left="284"/>
              <w:jc w:val="right"/>
              <w:rPr>
                <w:rFonts w:ascii="Verdana" w:hAnsi="Verdana"/>
                <w:sz w:val="20"/>
                <w:szCs w:val="20"/>
              </w:rPr>
            </w:pPr>
            <w:r w:rsidRPr="00F112F3">
              <w:rPr>
                <w:rFonts w:ascii="Verdana" w:hAnsi="Verdana"/>
                <w:sz w:val="20"/>
                <w:szCs w:val="20"/>
              </w:rPr>
              <w:t>667.232</w:t>
            </w:r>
          </w:p>
        </w:tc>
      </w:tr>
      <w:tr w:rsidR="003B427A" w:rsidRPr="003B427A" w14:paraId="079FF7BA" w14:textId="77777777" w:rsidTr="00566135">
        <w:trPr>
          <w:trHeight w:val="288"/>
        </w:trPr>
        <w:tc>
          <w:tcPr>
            <w:tcW w:w="4957" w:type="dxa"/>
            <w:noWrap/>
            <w:hideMark/>
          </w:tcPr>
          <w:p w14:paraId="02B9CDDE" w14:textId="63E48DAF"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4% - beroepskopers</w:t>
            </w:r>
            <w:r w:rsidR="008E349F">
              <w:rPr>
                <w:rStyle w:val="Voetnootmarkering"/>
                <w:rFonts w:ascii="Verdana" w:hAnsi="Verdana"/>
                <w:sz w:val="20"/>
                <w:szCs w:val="20"/>
              </w:rPr>
              <w:footnoteReference w:id="3"/>
            </w:r>
          </w:p>
        </w:tc>
        <w:tc>
          <w:tcPr>
            <w:tcW w:w="1426" w:type="dxa"/>
            <w:noWrap/>
            <w:hideMark/>
          </w:tcPr>
          <w:p w14:paraId="2D1B782B" w14:textId="683ECD26" w:rsidR="003B427A" w:rsidRPr="003B427A" w:rsidRDefault="00F112F3" w:rsidP="00AF02AD">
            <w:pPr>
              <w:ind w:left="284"/>
              <w:jc w:val="right"/>
              <w:rPr>
                <w:rFonts w:ascii="Verdana" w:hAnsi="Verdana"/>
                <w:sz w:val="20"/>
                <w:szCs w:val="20"/>
              </w:rPr>
            </w:pPr>
            <w:r w:rsidRPr="00F112F3">
              <w:rPr>
                <w:rFonts w:ascii="Verdana" w:hAnsi="Verdana"/>
                <w:sz w:val="20"/>
                <w:szCs w:val="20"/>
              </w:rPr>
              <w:t>5.318</w:t>
            </w:r>
          </w:p>
        </w:tc>
        <w:tc>
          <w:tcPr>
            <w:tcW w:w="2679" w:type="dxa"/>
            <w:noWrap/>
            <w:hideMark/>
          </w:tcPr>
          <w:p w14:paraId="11DDDE25" w14:textId="5DDB00B4" w:rsidR="003B427A" w:rsidRPr="003B427A" w:rsidRDefault="00F112F3" w:rsidP="00663A12">
            <w:pPr>
              <w:ind w:left="284"/>
              <w:jc w:val="right"/>
              <w:rPr>
                <w:rFonts w:ascii="Verdana" w:hAnsi="Verdana"/>
                <w:sz w:val="20"/>
                <w:szCs w:val="20"/>
              </w:rPr>
            </w:pPr>
            <w:r w:rsidRPr="00F112F3">
              <w:rPr>
                <w:rFonts w:ascii="Verdana" w:hAnsi="Verdana"/>
                <w:sz w:val="20"/>
                <w:szCs w:val="20"/>
              </w:rPr>
              <w:t>110.066.992</w:t>
            </w:r>
          </w:p>
        </w:tc>
      </w:tr>
      <w:tr w:rsidR="003B427A" w:rsidRPr="003B427A" w14:paraId="498BE92C" w14:textId="77777777" w:rsidTr="00566135">
        <w:trPr>
          <w:trHeight w:val="288"/>
        </w:trPr>
        <w:tc>
          <w:tcPr>
            <w:tcW w:w="4957" w:type="dxa"/>
            <w:noWrap/>
            <w:hideMark/>
          </w:tcPr>
          <w:p w14:paraId="1EEF5C96" w14:textId="547464F7"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5% - klein beschrijf</w:t>
            </w:r>
          </w:p>
        </w:tc>
        <w:tc>
          <w:tcPr>
            <w:tcW w:w="1426" w:type="dxa"/>
            <w:noWrap/>
            <w:hideMark/>
          </w:tcPr>
          <w:p w14:paraId="5FBF9AF1" w14:textId="35B6DF4B" w:rsidR="003B427A" w:rsidRPr="003B427A" w:rsidRDefault="00F112F3" w:rsidP="00AF02AD">
            <w:pPr>
              <w:ind w:left="284"/>
              <w:jc w:val="right"/>
              <w:rPr>
                <w:rFonts w:ascii="Verdana" w:hAnsi="Verdana"/>
                <w:sz w:val="20"/>
                <w:szCs w:val="20"/>
              </w:rPr>
            </w:pPr>
            <w:r w:rsidRPr="00F112F3">
              <w:rPr>
                <w:rFonts w:ascii="Verdana" w:hAnsi="Verdana"/>
                <w:sz w:val="20"/>
                <w:szCs w:val="20"/>
              </w:rPr>
              <w:t>22</w:t>
            </w:r>
          </w:p>
        </w:tc>
        <w:tc>
          <w:tcPr>
            <w:tcW w:w="2679" w:type="dxa"/>
            <w:noWrap/>
            <w:hideMark/>
          </w:tcPr>
          <w:p w14:paraId="54A7EF15" w14:textId="16A08D99" w:rsidR="003B427A" w:rsidRPr="003B427A" w:rsidRDefault="00F112F3" w:rsidP="00663A12">
            <w:pPr>
              <w:ind w:left="284"/>
              <w:jc w:val="right"/>
              <w:rPr>
                <w:rFonts w:ascii="Verdana" w:hAnsi="Verdana"/>
                <w:sz w:val="20"/>
                <w:szCs w:val="20"/>
              </w:rPr>
            </w:pPr>
            <w:r w:rsidRPr="00F112F3">
              <w:rPr>
                <w:rFonts w:ascii="Verdana" w:hAnsi="Verdana"/>
                <w:sz w:val="20"/>
                <w:szCs w:val="20"/>
              </w:rPr>
              <w:t>111.336</w:t>
            </w:r>
          </w:p>
        </w:tc>
      </w:tr>
      <w:tr w:rsidR="003B427A" w:rsidRPr="003B427A" w14:paraId="70AC5B11" w14:textId="77777777" w:rsidTr="00566135">
        <w:trPr>
          <w:trHeight w:val="288"/>
        </w:trPr>
        <w:tc>
          <w:tcPr>
            <w:tcW w:w="4957" w:type="dxa"/>
            <w:noWrap/>
            <w:hideMark/>
          </w:tcPr>
          <w:p w14:paraId="58F71EC0" w14:textId="3E2A49DB"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Pr="003B427A">
              <w:rPr>
                <w:rFonts w:ascii="Verdana" w:hAnsi="Verdana"/>
                <w:sz w:val="20"/>
                <w:szCs w:val="20"/>
              </w:rPr>
              <w:t>6% - oud tarief klein beschrijf</w:t>
            </w:r>
          </w:p>
        </w:tc>
        <w:tc>
          <w:tcPr>
            <w:tcW w:w="1426" w:type="dxa"/>
            <w:noWrap/>
            <w:hideMark/>
          </w:tcPr>
          <w:p w14:paraId="1B639BC5" w14:textId="2864E466" w:rsidR="003B427A" w:rsidRPr="003B427A" w:rsidRDefault="00F112F3" w:rsidP="00AF02AD">
            <w:pPr>
              <w:ind w:left="284"/>
              <w:jc w:val="right"/>
              <w:rPr>
                <w:rFonts w:ascii="Verdana" w:hAnsi="Verdana"/>
                <w:sz w:val="20"/>
                <w:szCs w:val="20"/>
              </w:rPr>
            </w:pPr>
            <w:r w:rsidRPr="00F112F3">
              <w:rPr>
                <w:rFonts w:ascii="Verdana" w:hAnsi="Verdana"/>
                <w:sz w:val="20"/>
                <w:szCs w:val="20"/>
              </w:rPr>
              <w:t>39</w:t>
            </w:r>
          </w:p>
        </w:tc>
        <w:tc>
          <w:tcPr>
            <w:tcW w:w="2679" w:type="dxa"/>
            <w:noWrap/>
            <w:hideMark/>
          </w:tcPr>
          <w:p w14:paraId="575B9D3F" w14:textId="7026EA8F" w:rsidR="003B427A" w:rsidRPr="003B427A" w:rsidRDefault="00F112F3" w:rsidP="00663A12">
            <w:pPr>
              <w:ind w:left="284"/>
              <w:jc w:val="right"/>
              <w:rPr>
                <w:rFonts w:ascii="Verdana" w:hAnsi="Verdana"/>
                <w:sz w:val="20"/>
                <w:szCs w:val="20"/>
              </w:rPr>
            </w:pPr>
            <w:r w:rsidRPr="00F112F3">
              <w:rPr>
                <w:rFonts w:ascii="Verdana" w:hAnsi="Verdana"/>
                <w:sz w:val="20"/>
                <w:szCs w:val="20"/>
              </w:rPr>
              <w:t>357.353</w:t>
            </w:r>
          </w:p>
        </w:tc>
      </w:tr>
      <w:tr w:rsidR="003B427A" w:rsidRPr="003B427A" w14:paraId="4086F1B6" w14:textId="77777777" w:rsidTr="00566135">
        <w:trPr>
          <w:trHeight w:val="288"/>
        </w:trPr>
        <w:tc>
          <w:tcPr>
            <w:tcW w:w="4957" w:type="dxa"/>
            <w:noWrap/>
            <w:hideMark/>
          </w:tcPr>
          <w:p w14:paraId="1F2E8B92" w14:textId="200171E1"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00BB017F">
              <w:rPr>
                <w:rFonts w:ascii="Verdana" w:hAnsi="Verdana"/>
                <w:sz w:val="20"/>
                <w:szCs w:val="20"/>
              </w:rPr>
              <w:t>i</w:t>
            </w:r>
            <w:r w:rsidRPr="003B427A">
              <w:rPr>
                <w:rFonts w:ascii="Verdana" w:hAnsi="Verdana"/>
                <w:sz w:val="20"/>
                <w:szCs w:val="20"/>
              </w:rPr>
              <w:t>nbreng</w:t>
            </w:r>
          </w:p>
        </w:tc>
        <w:tc>
          <w:tcPr>
            <w:tcW w:w="1426" w:type="dxa"/>
            <w:noWrap/>
            <w:hideMark/>
          </w:tcPr>
          <w:p w14:paraId="57AD2532" w14:textId="5F34A9B8" w:rsidR="003B427A" w:rsidRPr="003B427A" w:rsidRDefault="00F112F3" w:rsidP="00AF02AD">
            <w:pPr>
              <w:ind w:left="284"/>
              <w:jc w:val="right"/>
              <w:rPr>
                <w:rFonts w:ascii="Verdana" w:hAnsi="Verdana"/>
                <w:sz w:val="20"/>
                <w:szCs w:val="20"/>
              </w:rPr>
            </w:pPr>
            <w:r w:rsidRPr="00F112F3">
              <w:rPr>
                <w:rFonts w:ascii="Verdana" w:hAnsi="Verdana"/>
                <w:sz w:val="20"/>
                <w:szCs w:val="20"/>
              </w:rPr>
              <w:t>17</w:t>
            </w:r>
          </w:p>
        </w:tc>
        <w:tc>
          <w:tcPr>
            <w:tcW w:w="2679" w:type="dxa"/>
            <w:noWrap/>
            <w:hideMark/>
          </w:tcPr>
          <w:p w14:paraId="2878E21B" w14:textId="3512492C" w:rsidR="003B427A" w:rsidRPr="003B427A" w:rsidRDefault="00F112F3" w:rsidP="00663A12">
            <w:pPr>
              <w:ind w:left="284"/>
              <w:jc w:val="right"/>
              <w:rPr>
                <w:rFonts w:ascii="Verdana" w:hAnsi="Verdana"/>
                <w:sz w:val="20"/>
                <w:szCs w:val="20"/>
              </w:rPr>
            </w:pPr>
            <w:r w:rsidRPr="00F112F3">
              <w:rPr>
                <w:rFonts w:ascii="Verdana" w:hAnsi="Verdana"/>
                <w:sz w:val="20"/>
                <w:szCs w:val="20"/>
              </w:rPr>
              <w:t>561.753</w:t>
            </w:r>
          </w:p>
        </w:tc>
      </w:tr>
      <w:tr w:rsidR="003B427A" w:rsidRPr="003B427A" w14:paraId="31DCA56E" w14:textId="77777777" w:rsidTr="00566135">
        <w:trPr>
          <w:trHeight w:val="288"/>
        </w:trPr>
        <w:tc>
          <w:tcPr>
            <w:tcW w:w="4957" w:type="dxa"/>
            <w:noWrap/>
            <w:hideMark/>
          </w:tcPr>
          <w:p w14:paraId="0C9BED17" w14:textId="198DF27C" w:rsidR="003B427A" w:rsidRPr="003B427A" w:rsidRDefault="003B427A" w:rsidP="00610F96">
            <w:pPr>
              <w:rPr>
                <w:rFonts w:ascii="Verdana" w:hAnsi="Verdana"/>
                <w:sz w:val="20"/>
                <w:szCs w:val="20"/>
              </w:rPr>
            </w:pPr>
            <w:r w:rsidRPr="003B427A">
              <w:rPr>
                <w:rFonts w:ascii="Verdana" w:hAnsi="Verdana"/>
                <w:sz w:val="20"/>
                <w:szCs w:val="20"/>
              </w:rPr>
              <w:t>Verkoop</w:t>
            </w:r>
            <w:r>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gezinswoning 6%</w:t>
            </w:r>
            <w:r w:rsidR="008E349F">
              <w:rPr>
                <w:rStyle w:val="Voetnootmarkering"/>
                <w:rFonts w:ascii="Verdana" w:hAnsi="Verdana"/>
                <w:sz w:val="20"/>
                <w:szCs w:val="20"/>
              </w:rPr>
              <w:footnoteReference w:id="4"/>
            </w:r>
          </w:p>
        </w:tc>
        <w:tc>
          <w:tcPr>
            <w:tcW w:w="1426" w:type="dxa"/>
            <w:noWrap/>
            <w:hideMark/>
          </w:tcPr>
          <w:p w14:paraId="54E342BA" w14:textId="03709A2F" w:rsidR="003B427A" w:rsidRPr="003B427A" w:rsidRDefault="00F112F3" w:rsidP="00AF02AD">
            <w:pPr>
              <w:ind w:left="284"/>
              <w:jc w:val="right"/>
              <w:rPr>
                <w:rFonts w:ascii="Verdana" w:hAnsi="Verdana"/>
                <w:sz w:val="20"/>
                <w:szCs w:val="20"/>
              </w:rPr>
            </w:pPr>
            <w:r w:rsidRPr="00F112F3">
              <w:rPr>
                <w:rFonts w:ascii="Verdana" w:hAnsi="Verdana"/>
                <w:sz w:val="20"/>
                <w:szCs w:val="20"/>
              </w:rPr>
              <w:t>55.208</w:t>
            </w:r>
          </w:p>
        </w:tc>
        <w:tc>
          <w:tcPr>
            <w:tcW w:w="2679" w:type="dxa"/>
            <w:noWrap/>
            <w:hideMark/>
          </w:tcPr>
          <w:p w14:paraId="2D83BC54" w14:textId="1B82D88D" w:rsidR="003B427A" w:rsidRPr="003B427A" w:rsidRDefault="00F112F3" w:rsidP="00663A12">
            <w:pPr>
              <w:ind w:left="284"/>
              <w:jc w:val="right"/>
              <w:rPr>
                <w:rFonts w:ascii="Verdana" w:hAnsi="Verdana"/>
                <w:sz w:val="20"/>
                <w:szCs w:val="20"/>
              </w:rPr>
            </w:pPr>
            <w:r w:rsidRPr="00F112F3">
              <w:rPr>
                <w:rFonts w:ascii="Verdana" w:hAnsi="Verdana"/>
                <w:sz w:val="20"/>
                <w:szCs w:val="20"/>
              </w:rPr>
              <w:t>795.593.201</w:t>
            </w:r>
          </w:p>
        </w:tc>
      </w:tr>
      <w:tr w:rsidR="003B427A" w:rsidRPr="003B427A" w14:paraId="79F42305" w14:textId="77777777" w:rsidTr="00566135">
        <w:trPr>
          <w:trHeight w:val="288"/>
        </w:trPr>
        <w:tc>
          <w:tcPr>
            <w:tcW w:w="4957" w:type="dxa"/>
            <w:noWrap/>
            <w:hideMark/>
          </w:tcPr>
          <w:p w14:paraId="78C3284D" w14:textId="05BA5BD6"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gezinswoning 7%</w:t>
            </w:r>
            <w:r w:rsidR="008E349F">
              <w:rPr>
                <w:rStyle w:val="Voetnootmarkering"/>
                <w:rFonts w:ascii="Verdana" w:hAnsi="Verdana"/>
                <w:sz w:val="20"/>
                <w:szCs w:val="20"/>
              </w:rPr>
              <w:footnoteReference w:id="5"/>
            </w:r>
          </w:p>
        </w:tc>
        <w:tc>
          <w:tcPr>
            <w:tcW w:w="1426" w:type="dxa"/>
            <w:noWrap/>
            <w:hideMark/>
          </w:tcPr>
          <w:p w14:paraId="71EE0CC7" w14:textId="5961E693" w:rsidR="003B427A" w:rsidRPr="003B427A" w:rsidRDefault="00F112F3" w:rsidP="00AF02AD">
            <w:pPr>
              <w:ind w:left="284"/>
              <w:jc w:val="right"/>
              <w:rPr>
                <w:rFonts w:ascii="Verdana" w:hAnsi="Verdana"/>
                <w:sz w:val="20"/>
                <w:szCs w:val="20"/>
              </w:rPr>
            </w:pPr>
            <w:r w:rsidRPr="00F112F3">
              <w:rPr>
                <w:rFonts w:ascii="Verdana" w:hAnsi="Verdana"/>
                <w:sz w:val="20"/>
                <w:szCs w:val="20"/>
              </w:rPr>
              <w:t>11</w:t>
            </w:r>
          </w:p>
        </w:tc>
        <w:tc>
          <w:tcPr>
            <w:tcW w:w="2679" w:type="dxa"/>
            <w:noWrap/>
            <w:hideMark/>
          </w:tcPr>
          <w:p w14:paraId="546D2368" w14:textId="347CDC0E" w:rsidR="003B427A" w:rsidRPr="003B427A" w:rsidRDefault="00F112F3" w:rsidP="00663A12">
            <w:pPr>
              <w:ind w:left="284"/>
              <w:jc w:val="right"/>
              <w:rPr>
                <w:rFonts w:ascii="Verdana" w:hAnsi="Verdana"/>
                <w:sz w:val="20"/>
                <w:szCs w:val="20"/>
              </w:rPr>
            </w:pPr>
            <w:r w:rsidRPr="00F112F3">
              <w:rPr>
                <w:rFonts w:ascii="Verdana" w:hAnsi="Verdana"/>
                <w:sz w:val="20"/>
                <w:szCs w:val="20"/>
              </w:rPr>
              <w:t>107.779</w:t>
            </w:r>
          </w:p>
        </w:tc>
      </w:tr>
      <w:tr w:rsidR="003B427A" w:rsidRPr="003B427A" w14:paraId="15F64194" w14:textId="77777777" w:rsidTr="00566135">
        <w:trPr>
          <w:trHeight w:val="288"/>
        </w:trPr>
        <w:tc>
          <w:tcPr>
            <w:tcW w:w="4957" w:type="dxa"/>
            <w:noWrap/>
            <w:hideMark/>
          </w:tcPr>
          <w:p w14:paraId="25F079A5" w14:textId="3512E25F"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gezinswoning IER</w:t>
            </w:r>
            <w:r w:rsidR="00B22D71">
              <w:rPr>
                <w:rStyle w:val="Voetnootmarkering"/>
                <w:rFonts w:ascii="Verdana" w:hAnsi="Verdana"/>
                <w:sz w:val="20"/>
                <w:szCs w:val="20"/>
              </w:rPr>
              <w:footnoteReference w:id="6"/>
            </w:r>
            <w:r w:rsidRPr="003B427A">
              <w:rPr>
                <w:rFonts w:ascii="Verdana" w:hAnsi="Verdana"/>
                <w:sz w:val="20"/>
                <w:szCs w:val="20"/>
              </w:rPr>
              <w:t xml:space="preserve"> 5%</w:t>
            </w:r>
          </w:p>
        </w:tc>
        <w:tc>
          <w:tcPr>
            <w:tcW w:w="1426" w:type="dxa"/>
            <w:noWrap/>
            <w:hideMark/>
          </w:tcPr>
          <w:p w14:paraId="1577681D" w14:textId="308335D2" w:rsidR="003B427A" w:rsidRPr="003B427A" w:rsidRDefault="00610F96" w:rsidP="00AF02AD">
            <w:pPr>
              <w:ind w:left="284"/>
              <w:jc w:val="right"/>
              <w:rPr>
                <w:rFonts w:ascii="Verdana" w:hAnsi="Verdana"/>
                <w:sz w:val="20"/>
                <w:szCs w:val="20"/>
              </w:rPr>
            </w:pPr>
            <w:r w:rsidRPr="00610F96">
              <w:rPr>
                <w:rFonts w:ascii="Verdana" w:hAnsi="Verdana"/>
                <w:sz w:val="20"/>
                <w:szCs w:val="20"/>
              </w:rPr>
              <w:t>838</w:t>
            </w:r>
          </w:p>
        </w:tc>
        <w:tc>
          <w:tcPr>
            <w:tcW w:w="2679" w:type="dxa"/>
            <w:noWrap/>
            <w:hideMark/>
          </w:tcPr>
          <w:p w14:paraId="20E1EAB7" w14:textId="0EC2278F" w:rsidR="003B427A" w:rsidRPr="003B427A" w:rsidRDefault="00610F96" w:rsidP="00663A12">
            <w:pPr>
              <w:ind w:left="284"/>
              <w:jc w:val="right"/>
              <w:rPr>
                <w:rFonts w:ascii="Verdana" w:hAnsi="Verdana"/>
                <w:sz w:val="20"/>
                <w:szCs w:val="20"/>
              </w:rPr>
            </w:pPr>
            <w:r w:rsidRPr="00610F96">
              <w:rPr>
                <w:rFonts w:ascii="Verdana" w:hAnsi="Verdana"/>
                <w:sz w:val="20"/>
                <w:szCs w:val="20"/>
              </w:rPr>
              <w:t>9.496.828</w:t>
            </w:r>
          </w:p>
        </w:tc>
      </w:tr>
      <w:tr w:rsidR="003B427A" w:rsidRPr="003B427A" w14:paraId="3432A06F" w14:textId="77777777" w:rsidTr="00566135">
        <w:trPr>
          <w:trHeight w:val="288"/>
        </w:trPr>
        <w:tc>
          <w:tcPr>
            <w:tcW w:w="4957" w:type="dxa"/>
            <w:noWrap/>
            <w:hideMark/>
          </w:tcPr>
          <w:p w14:paraId="233E8F1A" w14:textId="49745C29"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gezinswoning IER 6%</w:t>
            </w:r>
            <w:r w:rsidR="009708C2">
              <w:rPr>
                <w:rStyle w:val="Voetnootmarkering"/>
                <w:rFonts w:ascii="Verdana" w:hAnsi="Verdana"/>
                <w:sz w:val="20"/>
                <w:szCs w:val="20"/>
              </w:rPr>
              <w:footnoteReference w:id="7"/>
            </w:r>
          </w:p>
        </w:tc>
        <w:tc>
          <w:tcPr>
            <w:tcW w:w="1426" w:type="dxa"/>
            <w:noWrap/>
            <w:hideMark/>
          </w:tcPr>
          <w:p w14:paraId="3204A519" w14:textId="7AA6E47E" w:rsidR="003B427A" w:rsidRPr="003B427A" w:rsidRDefault="00610F96" w:rsidP="00AF02AD">
            <w:pPr>
              <w:ind w:left="284"/>
              <w:jc w:val="right"/>
              <w:rPr>
                <w:rFonts w:ascii="Verdana" w:hAnsi="Verdana"/>
                <w:sz w:val="20"/>
                <w:szCs w:val="20"/>
              </w:rPr>
            </w:pPr>
            <w:r w:rsidRPr="00610F96">
              <w:rPr>
                <w:rFonts w:ascii="Verdana" w:hAnsi="Verdana"/>
                <w:sz w:val="20"/>
                <w:szCs w:val="20"/>
              </w:rPr>
              <w:t>14</w:t>
            </w:r>
          </w:p>
        </w:tc>
        <w:tc>
          <w:tcPr>
            <w:tcW w:w="2679" w:type="dxa"/>
            <w:noWrap/>
            <w:hideMark/>
          </w:tcPr>
          <w:p w14:paraId="773E82F3" w14:textId="4F173A53" w:rsidR="003B427A" w:rsidRPr="003B427A" w:rsidRDefault="00610F96" w:rsidP="00663A12">
            <w:pPr>
              <w:ind w:left="284"/>
              <w:jc w:val="right"/>
              <w:rPr>
                <w:rFonts w:ascii="Verdana" w:hAnsi="Verdana"/>
                <w:sz w:val="20"/>
                <w:szCs w:val="20"/>
              </w:rPr>
            </w:pPr>
            <w:r w:rsidRPr="00610F96">
              <w:rPr>
                <w:rFonts w:ascii="Verdana" w:hAnsi="Verdana"/>
                <w:sz w:val="20"/>
                <w:szCs w:val="20"/>
              </w:rPr>
              <w:t>164.921</w:t>
            </w:r>
          </w:p>
        </w:tc>
      </w:tr>
      <w:tr w:rsidR="003B427A" w:rsidRPr="003B427A" w14:paraId="1018F665" w14:textId="77777777" w:rsidTr="00566135">
        <w:trPr>
          <w:trHeight w:val="288"/>
        </w:trPr>
        <w:tc>
          <w:tcPr>
            <w:tcW w:w="4957" w:type="dxa"/>
            <w:noWrap/>
            <w:hideMark/>
          </w:tcPr>
          <w:p w14:paraId="15419B6B" w14:textId="49256415"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gezinswoning sloop heropbouw 5%</w:t>
            </w:r>
          </w:p>
        </w:tc>
        <w:tc>
          <w:tcPr>
            <w:tcW w:w="1426" w:type="dxa"/>
            <w:noWrap/>
            <w:hideMark/>
          </w:tcPr>
          <w:p w14:paraId="10F40A3A" w14:textId="3A7D62FB" w:rsidR="003B427A" w:rsidRPr="003B427A" w:rsidRDefault="00610F96" w:rsidP="00AF02AD">
            <w:pPr>
              <w:ind w:left="284"/>
              <w:jc w:val="right"/>
              <w:rPr>
                <w:rFonts w:ascii="Verdana" w:hAnsi="Verdana"/>
                <w:sz w:val="20"/>
                <w:szCs w:val="20"/>
              </w:rPr>
            </w:pPr>
            <w:r w:rsidRPr="00610F96">
              <w:rPr>
                <w:rFonts w:ascii="Verdana" w:hAnsi="Verdana"/>
                <w:sz w:val="20"/>
                <w:szCs w:val="20"/>
              </w:rPr>
              <w:t>9</w:t>
            </w:r>
          </w:p>
        </w:tc>
        <w:tc>
          <w:tcPr>
            <w:tcW w:w="2679" w:type="dxa"/>
            <w:noWrap/>
            <w:hideMark/>
          </w:tcPr>
          <w:p w14:paraId="7D3908F1" w14:textId="12524D77" w:rsidR="003B427A" w:rsidRPr="003B427A" w:rsidRDefault="00610F96" w:rsidP="00663A12">
            <w:pPr>
              <w:ind w:left="284"/>
              <w:jc w:val="right"/>
              <w:rPr>
                <w:rFonts w:ascii="Verdana" w:hAnsi="Verdana"/>
                <w:sz w:val="20"/>
                <w:szCs w:val="20"/>
              </w:rPr>
            </w:pPr>
            <w:r w:rsidRPr="00610F96">
              <w:rPr>
                <w:rFonts w:ascii="Verdana" w:hAnsi="Verdana"/>
                <w:sz w:val="20"/>
                <w:szCs w:val="20"/>
              </w:rPr>
              <w:t>115.495</w:t>
            </w:r>
          </w:p>
        </w:tc>
      </w:tr>
      <w:tr w:rsidR="003B427A" w:rsidRPr="003B427A" w14:paraId="3E7ED207" w14:textId="77777777" w:rsidTr="00566135">
        <w:trPr>
          <w:trHeight w:val="288"/>
        </w:trPr>
        <w:tc>
          <w:tcPr>
            <w:tcW w:w="4957" w:type="dxa"/>
            <w:noWrap/>
            <w:hideMark/>
          </w:tcPr>
          <w:p w14:paraId="28B14973" w14:textId="7A7276EA"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erlaagd tarief onroerend erfgoed 1%</w:t>
            </w:r>
            <w:r w:rsidR="008E349F">
              <w:rPr>
                <w:rStyle w:val="Voetnootmarkering"/>
                <w:rFonts w:ascii="Verdana" w:hAnsi="Verdana"/>
                <w:sz w:val="20"/>
                <w:szCs w:val="20"/>
              </w:rPr>
              <w:footnoteReference w:id="8"/>
            </w:r>
          </w:p>
        </w:tc>
        <w:tc>
          <w:tcPr>
            <w:tcW w:w="1426" w:type="dxa"/>
            <w:noWrap/>
            <w:hideMark/>
          </w:tcPr>
          <w:p w14:paraId="345B8291" w14:textId="1448E10D" w:rsidR="003B427A" w:rsidRPr="003B427A" w:rsidRDefault="00610F96" w:rsidP="00AF02AD">
            <w:pPr>
              <w:ind w:left="284"/>
              <w:jc w:val="right"/>
              <w:rPr>
                <w:rFonts w:ascii="Verdana" w:hAnsi="Verdana"/>
                <w:sz w:val="20"/>
                <w:szCs w:val="20"/>
              </w:rPr>
            </w:pPr>
            <w:r w:rsidRPr="00610F96">
              <w:rPr>
                <w:rFonts w:ascii="Verdana" w:hAnsi="Verdana"/>
                <w:sz w:val="20"/>
                <w:szCs w:val="20"/>
              </w:rPr>
              <w:t>47</w:t>
            </w:r>
          </w:p>
        </w:tc>
        <w:tc>
          <w:tcPr>
            <w:tcW w:w="2679" w:type="dxa"/>
            <w:noWrap/>
            <w:hideMark/>
          </w:tcPr>
          <w:p w14:paraId="35ACBA96" w14:textId="3906CEAE" w:rsidR="003B427A" w:rsidRPr="003B427A" w:rsidRDefault="00610F96" w:rsidP="00663A12">
            <w:pPr>
              <w:ind w:left="284"/>
              <w:jc w:val="right"/>
              <w:rPr>
                <w:rFonts w:ascii="Verdana" w:hAnsi="Verdana"/>
                <w:sz w:val="20"/>
                <w:szCs w:val="20"/>
              </w:rPr>
            </w:pPr>
            <w:r w:rsidRPr="00610F96">
              <w:rPr>
                <w:rFonts w:ascii="Verdana" w:hAnsi="Verdana"/>
                <w:sz w:val="20"/>
                <w:szCs w:val="20"/>
              </w:rPr>
              <w:t>206.495</w:t>
            </w:r>
          </w:p>
        </w:tc>
      </w:tr>
      <w:bookmarkEnd w:id="1"/>
      <w:tr w:rsidR="003B427A" w:rsidRPr="003B427A" w14:paraId="1D769019" w14:textId="77777777" w:rsidTr="00566135">
        <w:trPr>
          <w:trHeight w:val="288"/>
        </w:trPr>
        <w:tc>
          <w:tcPr>
            <w:tcW w:w="4957" w:type="dxa"/>
            <w:noWrap/>
            <w:hideMark/>
          </w:tcPr>
          <w:p w14:paraId="224C1F9A" w14:textId="4EDB06DE"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Pr="003B427A">
              <w:rPr>
                <w:rFonts w:ascii="Verdana" w:hAnsi="Verdana"/>
                <w:sz w:val="20"/>
                <w:szCs w:val="20"/>
              </w:rPr>
              <w:t>verlaagd tarief onroerend erfgoed 5%</w:t>
            </w:r>
            <w:r w:rsidR="008E349F">
              <w:rPr>
                <w:rStyle w:val="Voetnootmarkering"/>
                <w:rFonts w:ascii="Verdana" w:hAnsi="Verdana"/>
                <w:sz w:val="20"/>
                <w:szCs w:val="20"/>
              </w:rPr>
              <w:footnoteReference w:id="9"/>
            </w:r>
          </w:p>
        </w:tc>
        <w:tc>
          <w:tcPr>
            <w:tcW w:w="1426" w:type="dxa"/>
            <w:noWrap/>
            <w:hideMark/>
          </w:tcPr>
          <w:p w14:paraId="5D650E3E" w14:textId="5533B51D" w:rsidR="003B427A" w:rsidRPr="003B427A" w:rsidRDefault="00610F96" w:rsidP="00AF02AD">
            <w:pPr>
              <w:ind w:left="284"/>
              <w:jc w:val="right"/>
              <w:rPr>
                <w:rFonts w:ascii="Verdana" w:hAnsi="Verdana"/>
                <w:sz w:val="20"/>
                <w:szCs w:val="20"/>
              </w:rPr>
            </w:pPr>
            <w:r>
              <w:rPr>
                <w:rFonts w:ascii="Verdana" w:hAnsi="Verdana"/>
                <w:sz w:val="20"/>
                <w:szCs w:val="20"/>
              </w:rPr>
              <w:t>61</w:t>
            </w:r>
          </w:p>
        </w:tc>
        <w:tc>
          <w:tcPr>
            <w:tcW w:w="2679" w:type="dxa"/>
            <w:noWrap/>
            <w:hideMark/>
          </w:tcPr>
          <w:p w14:paraId="08E03C50" w14:textId="1B035B6C" w:rsidR="003B427A" w:rsidRPr="003B427A" w:rsidRDefault="00610F96" w:rsidP="00663A12">
            <w:pPr>
              <w:ind w:left="284"/>
              <w:jc w:val="right"/>
              <w:rPr>
                <w:rFonts w:ascii="Verdana" w:hAnsi="Verdana"/>
                <w:sz w:val="20"/>
                <w:szCs w:val="20"/>
              </w:rPr>
            </w:pPr>
            <w:r w:rsidRPr="00610F96">
              <w:rPr>
                <w:rFonts w:ascii="Verdana" w:hAnsi="Verdana"/>
                <w:sz w:val="20"/>
                <w:szCs w:val="20"/>
              </w:rPr>
              <w:t>2.276.379</w:t>
            </w:r>
          </w:p>
        </w:tc>
      </w:tr>
      <w:tr w:rsidR="003B427A" w:rsidRPr="003B427A" w14:paraId="626714BE" w14:textId="77777777" w:rsidTr="00566135">
        <w:trPr>
          <w:trHeight w:val="288"/>
        </w:trPr>
        <w:tc>
          <w:tcPr>
            <w:tcW w:w="4957" w:type="dxa"/>
            <w:noWrap/>
            <w:hideMark/>
          </w:tcPr>
          <w:p w14:paraId="6882CA0C" w14:textId="6AD6ED23" w:rsidR="003B427A" w:rsidRPr="003B427A" w:rsidRDefault="003B427A" w:rsidP="00610F96">
            <w:pPr>
              <w:rPr>
                <w:rFonts w:ascii="Verdana" w:hAnsi="Verdana"/>
                <w:sz w:val="20"/>
                <w:szCs w:val="20"/>
              </w:rPr>
            </w:pPr>
            <w:r w:rsidRPr="003B427A">
              <w:rPr>
                <w:rFonts w:ascii="Verdana" w:hAnsi="Verdana"/>
                <w:sz w:val="20"/>
                <w:szCs w:val="20"/>
              </w:rPr>
              <w:t>Verkoop</w:t>
            </w:r>
            <w:r w:rsidR="00FC0D67">
              <w:rPr>
                <w:rFonts w:ascii="Verdana" w:hAnsi="Verdana"/>
                <w:sz w:val="20"/>
                <w:szCs w:val="20"/>
              </w:rPr>
              <w:t xml:space="preserve"> </w:t>
            </w:r>
            <w:r w:rsidR="00BB017F">
              <w:rPr>
                <w:rFonts w:ascii="Verdana" w:hAnsi="Verdana"/>
                <w:sz w:val="20"/>
                <w:szCs w:val="20"/>
              </w:rPr>
              <w:t>v</w:t>
            </w:r>
            <w:r w:rsidRPr="003B427A">
              <w:rPr>
                <w:rFonts w:ascii="Verdana" w:hAnsi="Verdana"/>
                <w:sz w:val="20"/>
                <w:szCs w:val="20"/>
              </w:rPr>
              <w:t xml:space="preserve">erlaagd tarief </w:t>
            </w:r>
            <w:proofErr w:type="spellStart"/>
            <w:r w:rsidRPr="003B427A">
              <w:rPr>
                <w:rFonts w:ascii="Verdana" w:hAnsi="Verdana"/>
                <w:sz w:val="20"/>
                <w:szCs w:val="20"/>
              </w:rPr>
              <w:t>svk</w:t>
            </w:r>
            <w:proofErr w:type="spellEnd"/>
            <w:r w:rsidRPr="003B427A">
              <w:rPr>
                <w:rFonts w:ascii="Verdana" w:hAnsi="Verdana"/>
                <w:sz w:val="20"/>
                <w:szCs w:val="20"/>
              </w:rPr>
              <w:t xml:space="preserve"> 7%</w:t>
            </w:r>
            <w:r w:rsidR="00622C9E">
              <w:rPr>
                <w:rStyle w:val="Voetnootmarkering"/>
                <w:rFonts w:ascii="Verdana" w:hAnsi="Verdana"/>
                <w:sz w:val="20"/>
                <w:szCs w:val="20"/>
              </w:rPr>
              <w:footnoteReference w:id="10"/>
            </w:r>
          </w:p>
        </w:tc>
        <w:tc>
          <w:tcPr>
            <w:tcW w:w="1426" w:type="dxa"/>
            <w:noWrap/>
            <w:hideMark/>
          </w:tcPr>
          <w:p w14:paraId="7C8E2CAF" w14:textId="52544CAD" w:rsidR="003B427A" w:rsidRPr="003B427A" w:rsidRDefault="00F112F3" w:rsidP="00AF02AD">
            <w:pPr>
              <w:ind w:left="284"/>
              <w:jc w:val="right"/>
              <w:rPr>
                <w:rFonts w:ascii="Verdana" w:hAnsi="Verdana"/>
                <w:sz w:val="20"/>
                <w:szCs w:val="20"/>
              </w:rPr>
            </w:pPr>
            <w:r w:rsidRPr="00F112F3">
              <w:rPr>
                <w:rFonts w:ascii="Verdana" w:hAnsi="Verdana"/>
                <w:sz w:val="20"/>
                <w:szCs w:val="20"/>
              </w:rPr>
              <w:t>264</w:t>
            </w:r>
          </w:p>
        </w:tc>
        <w:tc>
          <w:tcPr>
            <w:tcW w:w="2679" w:type="dxa"/>
            <w:noWrap/>
            <w:hideMark/>
          </w:tcPr>
          <w:p w14:paraId="75553F37" w14:textId="510BE7A8" w:rsidR="003B427A" w:rsidRPr="003B427A" w:rsidRDefault="00F112F3" w:rsidP="00663A12">
            <w:pPr>
              <w:ind w:left="284"/>
              <w:jc w:val="right"/>
              <w:rPr>
                <w:rFonts w:ascii="Verdana" w:hAnsi="Verdana"/>
                <w:sz w:val="20"/>
                <w:szCs w:val="20"/>
              </w:rPr>
            </w:pPr>
            <w:r w:rsidRPr="00F112F3">
              <w:rPr>
                <w:rFonts w:ascii="Verdana" w:hAnsi="Verdana"/>
                <w:sz w:val="20"/>
                <w:szCs w:val="20"/>
              </w:rPr>
              <w:t>3.319.654</w:t>
            </w:r>
          </w:p>
        </w:tc>
      </w:tr>
      <w:tr w:rsidR="003B427A" w:rsidRPr="003B427A" w14:paraId="5140F805" w14:textId="77777777" w:rsidTr="00566135">
        <w:trPr>
          <w:trHeight w:val="288"/>
        </w:trPr>
        <w:tc>
          <w:tcPr>
            <w:tcW w:w="4957" w:type="dxa"/>
            <w:noWrap/>
            <w:hideMark/>
          </w:tcPr>
          <w:p w14:paraId="2793AF4A" w14:textId="77777777" w:rsidR="003B427A" w:rsidRPr="003B427A" w:rsidRDefault="003B427A" w:rsidP="00610F96">
            <w:pPr>
              <w:rPr>
                <w:rFonts w:ascii="Verdana" w:hAnsi="Verdana"/>
                <w:sz w:val="20"/>
                <w:szCs w:val="20"/>
              </w:rPr>
            </w:pPr>
            <w:r w:rsidRPr="003B427A">
              <w:rPr>
                <w:rFonts w:ascii="Verdana" w:hAnsi="Verdana"/>
                <w:sz w:val="20"/>
                <w:szCs w:val="20"/>
              </w:rPr>
              <w:t>Vernietiging/ontbinding verkoop</w:t>
            </w:r>
          </w:p>
        </w:tc>
        <w:tc>
          <w:tcPr>
            <w:tcW w:w="1426" w:type="dxa"/>
            <w:noWrap/>
            <w:hideMark/>
          </w:tcPr>
          <w:p w14:paraId="67B883CB" w14:textId="50C2F6AA" w:rsidR="003B427A" w:rsidRPr="003B427A" w:rsidRDefault="00F112F3" w:rsidP="00AF02AD">
            <w:pPr>
              <w:ind w:left="284"/>
              <w:jc w:val="right"/>
              <w:rPr>
                <w:rFonts w:ascii="Verdana" w:hAnsi="Verdana"/>
                <w:sz w:val="20"/>
                <w:szCs w:val="20"/>
              </w:rPr>
            </w:pPr>
            <w:r w:rsidRPr="00F112F3">
              <w:rPr>
                <w:rFonts w:ascii="Verdana" w:hAnsi="Verdana"/>
                <w:sz w:val="20"/>
                <w:szCs w:val="20"/>
              </w:rPr>
              <w:t>2.810</w:t>
            </w:r>
          </w:p>
        </w:tc>
        <w:tc>
          <w:tcPr>
            <w:tcW w:w="2679" w:type="dxa"/>
            <w:noWrap/>
            <w:hideMark/>
          </w:tcPr>
          <w:p w14:paraId="2CA501C0" w14:textId="0D7190F8" w:rsidR="003B427A" w:rsidRPr="003B427A" w:rsidRDefault="00F112F3" w:rsidP="00663A12">
            <w:pPr>
              <w:ind w:left="284"/>
              <w:jc w:val="right"/>
              <w:rPr>
                <w:rFonts w:ascii="Verdana" w:hAnsi="Verdana"/>
                <w:sz w:val="20"/>
                <w:szCs w:val="20"/>
              </w:rPr>
            </w:pPr>
            <w:r w:rsidRPr="00F112F3">
              <w:rPr>
                <w:rFonts w:ascii="Verdana" w:hAnsi="Verdana"/>
                <w:sz w:val="20"/>
                <w:szCs w:val="20"/>
              </w:rPr>
              <w:t>30.180</w:t>
            </w:r>
          </w:p>
        </w:tc>
      </w:tr>
      <w:tr w:rsidR="003B427A" w:rsidRPr="003B427A" w14:paraId="0E0FF578" w14:textId="77777777" w:rsidTr="00566135">
        <w:trPr>
          <w:trHeight w:val="288"/>
        </w:trPr>
        <w:tc>
          <w:tcPr>
            <w:tcW w:w="4957" w:type="dxa"/>
            <w:noWrap/>
            <w:hideMark/>
          </w:tcPr>
          <w:p w14:paraId="4477A66B" w14:textId="27693756" w:rsidR="003B427A" w:rsidRPr="00877373" w:rsidRDefault="00E0507D" w:rsidP="00E21903">
            <w:pPr>
              <w:jc w:val="both"/>
              <w:rPr>
                <w:rFonts w:ascii="Verdana" w:hAnsi="Verdana"/>
                <w:b/>
                <w:bCs/>
                <w:sz w:val="20"/>
                <w:szCs w:val="20"/>
              </w:rPr>
            </w:pPr>
            <w:r w:rsidRPr="00877373">
              <w:rPr>
                <w:rFonts w:ascii="Verdana" w:hAnsi="Verdana"/>
                <w:b/>
                <w:bCs/>
                <w:sz w:val="20"/>
                <w:szCs w:val="20"/>
              </w:rPr>
              <w:lastRenderedPageBreak/>
              <w:t xml:space="preserve">TOTAAL </w:t>
            </w:r>
          </w:p>
        </w:tc>
        <w:tc>
          <w:tcPr>
            <w:tcW w:w="1426" w:type="dxa"/>
            <w:noWrap/>
            <w:hideMark/>
          </w:tcPr>
          <w:p w14:paraId="3D381F1A" w14:textId="3A62565F" w:rsidR="003B427A" w:rsidRPr="00877373" w:rsidRDefault="00F112F3" w:rsidP="00AF02AD">
            <w:pPr>
              <w:ind w:left="284"/>
              <w:jc w:val="right"/>
              <w:rPr>
                <w:rFonts w:ascii="Verdana" w:hAnsi="Verdana"/>
                <w:b/>
                <w:bCs/>
                <w:sz w:val="20"/>
                <w:szCs w:val="20"/>
              </w:rPr>
            </w:pPr>
            <w:r w:rsidRPr="00F112F3">
              <w:rPr>
                <w:rFonts w:ascii="Verdana" w:hAnsi="Verdana"/>
                <w:b/>
                <w:bCs/>
                <w:sz w:val="20"/>
                <w:szCs w:val="20"/>
              </w:rPr>
              <w:t>173.068</w:t>
            </w:r>
          </w:p>
        </w:tc>
        <w:tc>
          <w:tcPr>
            <w:tcW w:w="2679" w:type="dxa"/>
            <w:noWrap/>
            <w:hideMark/>
          </w:tcPr>
          <w:p w14:paraId="2D0E062F" w14:textId="0CFD10C8" w:rsidR="003B427A" w:rsidRPr="00877373" w:rsidRDefault="00F112F3" w:rsidP="00663A12">
            <w:pPr>
              <w:ind w:left="284"/>
              <w:jc w:val="right"/>
              <w:rPr>
                <w:rFonts w:ascii="Verdana" w:hAnsi="Verdana"/>
                <w:b/>
                <w:bCs/>
                <w:sz w:val="20"/>
                <w:szCs w:val="20"/>
              </w:rPr>
            </w:pPr>
            <w:r w:rsidRPr="00F112F3">
              <w:rPr>
                <w:rFonts w:ascii="Verdana" w:hAnsi="Verdana"/>
                <w:b/>
                <w:bCs/>
                <w:sz w:val="20"/>
                <w:szCs w:val="20"/>
              </w:rPr>
              <w:t>2.978.293.562</w:t>
            </w:r>
          </w:p>
        </w:tc>
      </w:tr>
    </w:tbl>
    <w:p w14:paraId="04AA2537" w14:textId="77777777" w:rsidR="00301561" w:rsidRDefault="00301561" w:rsidP="007D3653">
      <w:pPr>
        <w:ind w:left="284"/>
        <w:jc w:val="both"/>
        <w:rPr>
          <w:rFonts w:ascii="Verdana" w:hAnsi="Verdana"/>
          <w:sz w:val="20"/>
          <w:szCs w:val="20"/>
        </w:rPr>
      </w:pPr>
    </w:p>
    <w:bookmarkEnd w:id="0"/>
    <w:p w14:paraId="358C6A81" w14:textId="20082726" w:rsidR="005A6474" w:rsidRPr="005A6474" w:rsidRDefault="005A6474" w:rsidP="00E21903">
      <w:pPr>
        <w:ind w:left="284"/>
        <w:jc w:val="both"/>
        <w:rPr>
          <w:rFonts w:ascii="Verdana" w:hAnsi="Verdana"/>
          <w:sz w:val="20"/>
          <w:szCs w:val="20"/>
          <w:lang w:val="nl-BE"/>
        </w:rPr>
      </w:pPr>
      <w:r w:rsidRPr="005A6474">
        <w:rPr>
          <w:rFonts w:ascii="Verdana" w:hAnsi="Verdana"/>
          <w:sz w:val="20"/>
          <w:szCs w:val="20"/>
          <w:lang w:val="nl-BE"/>
        </w:rPr>
        <w:t>Volgens de ESR-</w:t>
      </w:r>
      <w:proofErr w:type="spellStart"/>
      <w:r w:rsidRPr="005A6474">
        <w:rPr>
          <w:rFonts w:ascii="Verdana" w:hAnsi="Verdana"/>
          <w:sz w:val="20"/>
          <w:szCs w:val="20"/>
          <w:lang w:val="nl-BE"/>
        </w:rPr>
        <w:t>aanrekeningsmethode</w:t>
      </w:r>
      <w:proofErr w:type="spellEnd"/>
      <w:r w:rsidR="00B3089D">
        <w:rPr>
          <w:rStyle w:val="Voetnootmarkering"/>
          <w:rFonts w:ascii="Verdana" w:hAnsi="Verdana"/>
          <w:sz w:val="20"/>
          <w:szCs w:val="20"/>
          <w:lang w:val="nl-BE"/>
        </w:rPr>
        <w:footnoteReference w:id="11"/>
      </w:r>
      <w:r w:rsidRPr="005A6474">
        <w:rPr>
          <w:rFonts w:ascii="Verdana" w:hAnsi="Verdana"/>
          <w:sz w:val="20"/>
          <w:szCs w:val="20"/>
          <w:lang w:val="nl-BE"/>
        </w:rPr>
        <w:t xml:space="preserve"> werd voor 20</w:t>
      </w:r>
      <w:r>
        <w:rPr>
          <w:rFonts w:ascii="Verdana" w:hAnsi="Verdana"/>
          <w:sz w:val="20"/>
          <w:szCs w:val="20"/>
          <w:lang w:val="nl-BE"/>
        </w:rPr>
        <w:t>21</w:t>
      </w:r>
      <w:r w:rsidR="002400BC">
        <w:rPr>
          <w:rFonts w:ascii="Verdana" w:hAnsi="Verdana"/>
          <w:sz w:val="20"/>
          <w:szCs w:val="20"/>
          <w:lang w:val="nl-BE"/>
        </w:rPr>
        <w:t xml:space="preserve"> </w:t>
      </w:r>
      <w:r w:rsidRPr="005A6474">
        <w:rPr>
          <w:rFonts w:ascii="Verdana" w:hAnsi="Verdana"/>
          <w:sz w:val="20"/>
          <w:szCs w:val="20"/>
        </w:rPr>
        <w:t xml:space="preserve">2.822.380.899,52 </w:t>
      </w:r>
      <w:r w:rsidRPr="005A6474">
        <w:rPr>
          <w:rFonts w:ascii="Verdana" w:hAnsi="Verdana"/>
          <w:sz w:val="20"/>
          <w:szCs w:val="20"/>
          <w:lang w:val="nl-BE"/>
        </w:rPr>
        <w:t xml:space="preserve">euro (inclusief intresten en kosten) aan </w:t>
      </w:r>
      <w:r w:rsidR="002034D8">
        <w:rPr>
          <w:rFonts w:ascii="Verdana" w:hAnsi="Verdana"/>
          <w:sz w:val="20"/>
          <w:szCs w:val="20"/>
          <w:lang w:val="nl-BE"/>
        </w:rPr>
        <w:t>verkooprecht</w:t>
      </w:r>
      <w:r w:rsidRPr="005A6474">
        <w:rPr>
          <w:rFonts w:ascii="Verdana" w:hAnsi="Verdana"/>
          <w:sz w:val="20"/>
          <w:szCs w:val="20"/>
          <w:lang w:val="nl-BE"/>
        </w:rPr>
        <w:t xml:space="preserve"> ontvangen. </w:t>
      </w:r>
    </w:p>
    <w:p w14:paraId="1710DD9A" w14:textId="77777777" w:rsidR="005A6474" w:rsidRPr="002034D8" w:rsidRDefault="005A6474" w:rsidP="003044FC">
      <w:pPr>
        <w:jc w:val="both"/>
        <w:rPr>
          <w:rFonts w:ascii="Verdana" w:hAnsi="Verdana"/>
          <w:sz w:val="20"/>
          <w:szCs w:val="20"/>
          <w:lang w:val="nl-BE"/>
        </w:rPr>
      </w:pPr>
    </w:p>
    <w:p w14:paraId="03CE04C4" w14:textId="3867CEF3" w:rsidR="00737C84" w:rsidRDefault="00622482" w:rsidP="00E21903">
      <w:pPr>
        <w:numPr>
          <w:ilvl w:val="0"/>
          <w:numId w:val="15"/>
        </w:numPr>
        <w:ind w:left="284" w:hanging="284"/>
        <w:jc w:val="both"/>
        <w:rPr>
          <w:rFonts w:ascii="Verdana" w:hAnsi="Verdana"/>
          <w:sz w:val="20"/>
          <w:szCs w:val="20"/>
        </w:rPr>
      </w:pPr>
      <w:r>
        <w:rPr>
          <w:rFonts w:ascii="Verdana" w:hAnsi="Verdana"/>
          <w:sz w:val="20"/>
          <w:szCs w:val="20"/>
        </w:rPr>
        <w:t xml:space="preserve">In onderstaande tabel vindt u voor aanslagjaar 2021 de meeneembare rechten </w:t>
      </w:r>
      <w:r w:rsidR="00B03562">
        <w:rPr>
          <w:rFonts w:ascii="Verdana" w:hAnsi="Verdana"/>
          <w:sz w:val="20"/>
          <w:szCs w:val="20"/>
        </w:rPr>
        <w:t>door</w:t>
      </w:r>
      <w:r>
        <w:rPr>
          <w:rFonts w:ascii="Verdana" w:hAnsi="Verdana"/>
          <w:sz w:val="20"/>
          <w:szCs w:val="20"/>
        </w:rPr>
        <w:t xml:space="preserve"> verrekening en de meeneembare rechten </w:t>
      </w:r>
      <w:r w:rsidR="00B03562">
        <w:rPr>
          <w:rFonts w:ascii="Verdana" w:hAnsi="Verdana"/>
          <w:sz w:val="20"/>
          <w:szCs w:val="20"/>
        </w:rPr>
        <w:t>door</w:t>
      </w:r>
      <w:r>
        <w:rPr>
          <w:rFonts w:ascii="Verdana" w:hAnsi="Verdana"/>
          <w:sz w:val="20"/>
          <w:szCs w:val="20"/>
        </w:rPr>
        <w:t xml:space="preserve"> teruggave.</w:t>
      </w:r>
      <w:r w:rsidR="004E2C84">
        <w:rPr>
          <w:rFonts w:ascii="Verdana" w:hAnsi="Verdana"/>
          <w:sz w:val="20"/>
          <w:szCs w:val="20"/>
        </w:rPr>
        <w:t xml:space="preserve"> </w:t>
      </w:r>
      <w:r w:rsidR="007D025D">
        <w:rPr>
          <w:rFonts w:ascii="Verdana" w:hAnsi="Verdana"/>
          <w:sz w:val="20"/>
          <w:szCs w:val="20"/>
        </w:rPr>
        <w:t xml:space="preserve">Een verzoek tot verrekening wordt doorgaans gevraagd in de authentieke akte van de aankoop van de nieuwe woning-hoofdverblijfplaats. Indien het gaat om meeneembaarheid door teruggave gebeurt het verzoek doorgaans in de akte van verkoop van de oude woning-hoofdverblijfplaats. </w:t>
      </w:r>
      <w:r w:rsidR="00ED2D3A">
        <w:rPr>
          <w:rFonts w:ascii="Verdana" w:hAnsi="Verdana"/>
          <w:sz w:val="20"/>
          <w:szCs w:val="20"/>
        </w:rPr>
        <w:t xml:space="preserve">Gelet op </w:t>
      </w:r>
      <w:r w:rsidR="002034D8">
        <w:rPr>
          <w:rFonts w:ascii="Verdana" w:hAnsi="Verdana"/>
          <w:sz w:val="20"/>
          <w:szCs w:val="20"/>
        </w:rPr>
        <w:t>het feit dat de belastingplichtige 2 jaar</w:t>
      </w:r>
      <w:r w:rsidR="000D2DA0" w:rsidRPr="00E21903">
        <w:rPr>
          <w:rStyle w:val="Voetnootmarkering"/>
          <w:rFonts w:ascii="Verdana" w:hAnsi="Verdana"/>
          <w:sz w:val="20"/>
          <w:szCs w:val="20"/>
          <w:lang w:val="nl-BE"/>
        </w:rPr>
        <w:footnoteReference w:id="12"/>
      </w:r>
      <w:r w:rsidR="002034D8" w:rsidRPr="00E21903">
        <w:rPr>
          <w:rStyle w:val="Voetnootmarkering"/>
          <w:lang w:val="nl-BE"/>
        </w:rPr>
        <w:t xml:space="preserve"> </w:t>
      </w:r>
      <w:r w:rsidR="002034D8">
        <w:rPr>
          <w:rFonts w:ascii="Verdana" w:hAnsi="Verdana"/>
          <w:sz w:val="20"/>
          <w:szCs w:val="20"/>
        </w:rPr>
        <w:t xml:space="preserve">de tijd heeft </w:t>
      </w:r>
      <w:r w:rsidR="000D2DA0">
        <w:rPr>
          <w:rFonts w:ascii="Verdana" w:hAnsi="Verdana"/>
          <w:sz w:val="20"/>
          <w:szCs w:val="20"/>
        </w:rPr>
        <w:t xml:space="preserve">vanaf de aankoop van de nieuwe woning-hoofdverblijfplaats </w:t>
      </w:r>
      <w:r w:rsidR="002034D8">
        <w:rPr>
          <w:rFonts w:ascii="Verdana" w:hAnsi="Verdana"/>
          <w:sz w:val="20"/>
          <w:szCs w:val="20"/>
        </w:rPr>
        <w:t>om de oude woning te verkopen,</w:t>
      </w:r>
      <w:r w:rsidR="00684B99">
        <w:rPr>
          <w:rFonts w:ascii="Verdana" w:hAnsi="Verdana"/>
          <w:sz w:val="20"/>
          <w:szCs w:val="20"/>
        </w:rPr>
        <w:t xml:space="preserve"> </w:t>
      </w:r>
      <w:r w:rsidR="00ED2D3A">
        <w:rPr>
          <w:rFonts w:ascii="Verdana" w:hAnsi="Verdana"/>
          <w:sz w:val="20"/>
          <w:szCs w:val="20"/>
        </w:rPr>
        <w:t>zal het bedrag van de meeneembare rechten bij teruggave nog toeneme</w:t>
      </w:r>
      <w:r w:rsidR="007D025D">
        <w:rPr>
          <w:rFonts w:ascii="Verdana" w:hAnsi="Verdana"/>
          <w:sz w:val="20"/>
          <w:szCs w:val="20"/>
        </w:rPr>
        <w:t>n.</w:t>
      </w:r>
    </w:p>
    <w:p w14:paraId="1D4E8275" w14:textId="77777777" w:rsidR="00737C84" w:rsidRDefault="00737C84" w:rsidP="00807D4F">
      <w:pPr>
        <w:jc w:val="both"/>
        <w:rPr>
          <w:rFonts w:ascii="Verdana" w:hAnsi="Verdana"/>
          <w:sz w:val="20"/>
          <w:szCs w:val="20"/>
        </w:rPr>
      </w:pPr>
    </w:p>
    <w:tbl>
      <w:tblPr>
        <w:tblStyle w:val="Tabelraster"/>
        <w:tblW w:w="0" w:type="auto"/>
        <w:tblLook w:val="04A0" w:firstRow="1" w:lastRow="0" w:firstColumn="1" w:lastColumn="0" w:noHBand="0" w:noVBand="1"/>
      </w:tblPr>
      <w:tblGrid>
        <w:gridCol w:w="4957"/>
        <w:gridCol w:w="1881"/>
        <w:gridCol w:w="2224"/>
      </w:tblGrid>
      <w:tr w:rsidR="00E57C26" w:rsidRPr="00E57C26" w14:paraId="4643780F" w14:textId="77777777" w:rsidTr="00566135">
        <w:trPr>
          <w:trHeight w:val="288"/>
        </w:trPr>
        <w:tc>
          <w:tcPr>
            <w:tcW w:w="4957" w:type="dxa"/>
            <w:noWrap/>
            <w:hideMark/>
          </w:tcPr>
          <w:p w14:paraId="3675AE2A" w14:textId="07A5EAEB" w:rsidR="00E57C26" w:rsidRPr="00E57C26" w:rsidRDefault="00E57C26" w:rsidP="00E21903">
            <w:pPr>
              <w:rPr>
                <w:rFonts w:ascii="Verdana" w:hAnsi="Verdana"/>
                <w:b/>
                <w:bCs/>
                <w:sz w:val="20"/>
                <w:szCs w:val="20"/>
                <w:lang w:val="nl-BE"/>
              </w:rPr>
            </w:pPr>
            <w:r w:rsidRPr="00E57C26">
              <w:rPr>
                <w:rFonts w:ascii="Verdana" w:hAnsi="Verdana"/>
                <w:b/>
                <w:bCs/>
                <w:sz w:val="20"/>
                <w:szCs w:val="20"/>
              </w:rPr>
              <w:t>Transactietype</w:t>
            </w:r>
          </w:p>
        </w:tc>
        <w:tc>
          <w:tcPr>
            <w:tcW w:w="1881" w:type="dxa"/>
            <w:noWrap/>
            <w:hideMark/>
          </w:tcPr>
          <w:p w14:paraId="431277B5" w14:textId="69210585" w:rsidR="00E57C26" w:rsidRDefault="00E57C26" w:rsidP="00E21903">
            <w:pPr>
              <w:jc w:val="right"/>
              <w:rPr>
                <w:rFonts w:ascii="Verdana" w:hAnsi="Verdana"/>
                <w:b/>
                <w:bCs/>
                <w:sz w:val="20"/>
                <w:szCs w:val="20"/>
              </w:rPr>
            </w:pPr>
            <w:r w:rsidRPr="00E57C26">
              <w:rPr>
                <w:rFonts w:ascii="Verdana" w:hAnsi="Verdana"/>
                <w:b/>
                <w:bCs/>
                <w:sz w:val="20"/>
                <w:szCs w:val="20"/>
              </w:rPr>
              <w:t>Meeneembare rechten bij verrekening</w:t>
            </w:r>
          </w:p>
          <w:p w14:paraId="4156D7A1" w14:textId="017B1BD8" w:rsidR="00E57C26" w:rsidRPr="00E57C26" w:rsidRDefault="00566135" w:rsidP="00E21903">
            <w:pPr>
              <w:jc w:val="right"/>
              <w:rPr>
                <w:rFonts w:ascii="Verdana" w:hAnsi="Verdana"/>
                <w:b/>
                <w:bCs/>
                <w:sz w:val="20"/>
                <w:szCs w:val="20"/>
              </w:rPr>
            </w:pPr>
            <w:r>
              <w:rPr>
                <w:rFonts w:ascii="Verdana" w:hAnsi="Verdana"/>
                <w:b/>
                <w:bCs/>
                <w:sz w:val="20"/>
                <w:szCs w:val="20"/>
              </w:rPr>
              <w:t>(in euro)</w:t>
            </w:r>
          </w:p>
        </w:tc>
        <w:tc>
          <w:tcPr>
            <w:tcW w:w="2224" w:type="dxa"/>
            <w:noWrap/>
            <w:hideMark/>
          </w:tcPr>
          <w:p w14:paraId="2D73D760" w14:textId="77777777" w:rsidR="00E57C26" w:rsidRPr="00E57C26" w:rsidRDefault="00E57C26" w:rsidP="00E21903">
            <w:pPr>
              <w:jc w:val="right"/>
              <w:rPr>
                <w:rFonts w:ascii="Verdana" w:hAnsi="Verdana"/>
                <w:b/>
                <w:bCs/>
                <w:sz w:val="20"/>
                <w:szCs w:val="20"/>
              </w:rPr>
            </w:pPr>
            <w:r w:rsidRPr="00E57C26">
              <w:rPr>
                <w:rFonts w:ascii="Verdana" w:hAnsi="Verdana"/>
                <w:b/>
                <w:bCs/>
                <w:sz w:val="20"/>
                <w:szCs w:val="20"/>
              </w:rPr>
              <w:t xml:space="preserve">Meeneembare rechten bij teruggave </w:t>
            </w:r>
          </w:p>
          <w:p w14:paraId="3B9B0CB6" w14:textId="6D1A74B7" w:rsidR="00566135" w:rsidRPr="00E57C26" w:rsidRDefault="00566135" w:rsidP="00E21903">
            <w:pPr>
              <w:jc w:val="right"/>
              <w:rPr>
                <w:rFonts w:ascii="Verdana" w:hAnsi="Verdana"/>
                <w:b/>
                <w:bCs/>
                <w:sz w:val="20"/>
                <w:szCs w:val="20"/>
              </w:rPr>
            </w:pPr>
            <w:r>
              <w:rPr>
                <w:rFonts w:ascii="Verdana" w:hAnsi="Verdana"/>
                <w:b/>
                <w:bCs/>
                <w:sz w:val="20"/>
                <w:szCs w:val="20"/>
              </w:rPr>
              <w:t>(in euro)</w:t>
            </w:r>
          </w:p>
        </w:tc>
      </w:tr>
      <w:tr w:rsidR="00E57C26" w:rsidRPr="00E57C26" w14:paraId="61060D4F" w14:textId="77777777" w:rsidTr="00566135">
        <w:trPr>
          <w:trHeight w:val="288"/>
        </w:trPr>
        <w:tc>
          <w:tcPr>
            <w:tcW w:w="4957" w:type="dxa"/>
            <w:noWrap/>
            <w:hideMark/>
          </w:tcPr>
          <w:p w14:paraId="37C34AE9" w14:textId="3C653AC9" w:rsidR="00E57C26" w:rsidRPr="00E57C26" w:rsidRDefault="00E57C26" w:rsidP="00FC0D67">
            <w:pPr>
              <w:rPr>
                <w:rFonts w:ascii="Verdana" w:hAnsi="Verdana"/>
                <w:sz w:val="20"/>
                <w:szCs w:val="20"/>
              </w:rPr>
            </w:pPr>
            <w:r w:rsidRPr="00E57C26">
              <w:rPr>
                <w:rFonts w:ascii="Verdana" w:hAnsi="Verdana"/>
                <w:sz w:val="20"/>
                <w:szCs w:val="20"/>
              </w:rPr>
              <w:t>Verkoop 1,5% - sociaal tarief</w:t>
            </w:r>
          </w:p>
        </w:tc>
        <w:tc>
          <w:tcPr>
            <w:tcW w:w="1881" w:type="dxa"/>
            <w:noWrap/>
            <w:hideMark/>
          </w:tcPr>
          <w:p w14:paraId="70751296" w14:textId="5C79B7EA" w:rsidR="00E57C26" w:rsidRPr="00E57C26" w:rsidRDefault="00E57C26" w:rsidP="00FC0D67">
            <w:pPr>
              <w:jc w:val="right"/>
              <w:rPr>
                <w:rFonts w:ascii="Verdana" w:hAnsi="Verdana"/>
                <w:sz w:val="20"/>
                <w:szCs w:val="20"/>
              </w:rPr>
            </w:pPr>
            <w:r w:rsidRPr="00E57C26">
              <w:rPr>
                <w:rFonts w:ascii="Verdana" w:hAnsi="Verdana"/>
                <w:sz w:val="20"/>
                <w:szCs w:val="20"/>
              </w:rPr>
              <w:t>12.383</w:t>
            </w:r>
          </w:p>
        </w:tc>
        <w:tc>
          <w:tcPr>
            <w:tcW w:w="2224" w:type="dxa"/>
            <w:noWrap/>
            <w:hideMark/>
          </w:tcPr>
          <w:p w14:paraId="5656F51C" w14:textId="1A44B8C3" w:rsidR="00E57C26" w:rsidRPr="00E57C26" w:rsidRDefault="00E57C26" w:rsidP="00566135">
            <w:pPr>
              <w:jc w:val="right"/>
              <w:rPr>
                <w:rFonts w:ascii="Verdana" w:hAnsi="Verdana"/>
                <w:sz w:val="20"/>
                <w:szCs w:val="20"/>
              </w:rPr>
            </w:pPr>
            <w:r>
              <w:rPr>
                <w:rFonts w:ascii="Verdana" w:hAnsi="Verdana"/>
                <w:sz w:val="20"/>
                <w:szCs w:val="20"/>
              </w:rPr>
              <w:t>-</w:t>
            </w:r>
          </w:p>
        </w:tc>
      </w:tr>
      <w:tr w:rsidR="00E57C26" w:rsidRPr="00E57C26" w14:paraId="22DEBE29" w14:textId="77777777" w:rsidTr="00566135">
        <w:trPr>
          <w:trHeight w:val="288"/>
        </w:trPr>
        <w:tc>
          <w:tcPr>
            <w:tcW w:w="4957" w:type="dxa"/>
            <w:noWrap/>
            <w:hideMark/>
          </w:tcPr>
          <w:p w14:paraId="40397D3F" w14:textId="27FEC1B7" w:rsidR="00E57C26" w:rsidRPr="00E57C26" w:rsidRDefault="00E57C26" w:rsidP="00FC0D67">
            <w:pPr>
              <w:rPr>
                <w:rFonts w:ascii="Verdana" w:hAnsi="Verdana"/>
                <w:sz w:val="20"/>
                <w:szCs w:val="20"/>
              </w:rPr>
            </w:pPr>
            <w:r w:rsidRPr="00E57C26">
              <w:rPr>
                <w:rFonts w:ascii="Verdana" w:hAnsi="Verdana"/>
                <w:sz w:val="20"/>
                <w:szCs w:val="20"/>
              </w:rPr>
              <w:t>Verkoop 10% - gewoon tarief</w:t>
            </w:r>
          </w:p>
        </w:tc>
        <w:tc>
          <w:tcPr>
            <w:tcW w:w="1881" w:type="dxa"/>
            <w:noWrap/>
            <w:hideMark/>
          </w:tcPr>
          <w:p w14:paraId="49E4809F" w14:textId="5A6C77F4" w:rsidR="00E57C26" w:rsidRPr="00E57C26" w:rsidRDefault="00610F96" w:rsidP="00FC0D67">
            <w:pPr>
              <w:jc w:val="right"/>
              <w:rPr>
                <w:rFonts w:ascii="Verdana" w:hAnsi="Verdana"/>
                <w:sz w:val="20"/>
                <w:szCs w:val="20"/>
              </w:rPr>
            </w:pPr>
            <w:r w:rsidRPr="00610F96">
              <w:rPr>
                <w:rFonts w:ascii="Verdana" w:hAnsi="Verdana"/>
                <w:sz w:val="20"/>
                <w:szCs w:val="20"/>
              </w:rPr>
              <w:t>24.271.030</w:t>
            </w:r>
          </w:p>
        </w:tc>
        <w:tc>
          <w:tcPr>
            <w:tcW w:w="2224" w:type="dxa"/>
            <w:noWrap/>
            <w:hideMark/>
          </w:tcPr>
          <w:p w14:paraId="5E274068" w14:textId="2ECA663C" w:rsidR="00E57C26" w:rsidRPr="00E57C26" w:rsidRDefault="00610F96" w:rsidP="00FC0D67">
            <w:pPr>
              <w:jc w:val="right"/>
              <w:rPr>
                <w:rFonts w:ascii="Verdana" w:hAnsi="Verdana"/>
                <w:sz w:val="20"/>
                <w:szCs w:val="20"/>
              </w:rPr>
            </w:pPr>
            <w:r w:rsidRPr="00610F96">
              <w:rPr>
                <w:rFonts w:ascii="Verdana" w:hAnsi="Verdana"/>
                <w:sz w:val="20"/>
                <w:szCs w:val="20"/>
              </w:rPr>
              <w:t>8.451.871</w:t>
            </w:r>
          </w:p>
        </w:tc>
      </w:tr>
      <w:tr w:rsidR="00E57C26" w:rsidRPr="00E57C26" w14:paraId="5C5BEE42" w14:textId="77777777" w:rsidTr="00566135">
        <w:trPr>
          <w:trHeight w:val="288"/>
        </w:trPr>
        <w:tc>
          <w:tcPr>
            <w:tcW w:w="4957" w:type="dxa"/>
            <w:noWrap/>
            <w:hideMark/>
          </w:tcPr>
          <w:p w14:paraId="084B7D88" w14:textId="70B23D03" w:rsidR="00E57C26" w:rsidRPr="00E57C26" w:rsidRDefault="00E57C26" w:rsidP="00FC0D67">
            <w:pPr>
              <w:rPr>
                <w:rFonts w:ascii="Verdana" w:hAnsi="Verdana"/>
                <w:sz w:val="20"/>
                <w:szCs w:val="20"/>
              </w:rPr>
            </w:pPr>
            <w:r w:rsidRPr="00E57C26">
              <w:rPr>
                <w:rFonts w:ascii="Verdana" w:hAnsi="Verdana"/>
                <w:sz w:val="20"/>
                <w:szCs w:val="20"/>
              </w:rPr>
              <w:t>Verkoop 6% - oud tarief klein beschrijf</w:t>
            </w:r>
          </w:p>
        </w:tc>
        <w:tc>
          <w:tcPr>
            <w:tcW w:w="1881" w:type="dxa"/>
            <w:noWrap/>
            <w:hideMark/>
          </w:tcPr>
          <w:p w14:paraId="241988EF" w14:textId="72C68070" w:rsidR="00E57C26" w:rsidRPr="00E57C26" w:rsidRDefault="00204BD5" w:rsidP="00610F96">
            <w:pPr>
              <w:jc w:val="right"/>
              <w:rPr>
                <w:rFonts w:ascii="Verdana" w:hAnsi="Verdana"/>
                <w:sz w:val="20"/>
                <w:szCs w:val="20"/>
              </w:rPr>
            </w:pPr>
            <w:r w:rsidRPr="00204BD5">
              <w:rPr>
                <w:rFonts w:ascii="Verdana" w:hAnsi="Verdana"/>
                <w:sz w:val="20"/>
                <w:szCs w:val="20"/>
              </w:rPr>
              <w:t>52.165</w:t>
            </w:r>
          </w:p>
        </w:tc>
        <w:tc>
          <w:tcPr>
            <w:tcW w:w="2224" w:type="dxa"/>
            <w:noWrap/>
            <w:hideMark/>
          </w:tcPr>
          <w:p w14:paraId="02A70448" w14:textId="0989F5E9" w:rsidR="00E57C26" w:rsidRPr="00E57C26" w:rsidRDefault="00204BD5" w:rsidP="00610F96">
            <w:pPr>
              <w:jc w:val="right"/>
              <w:rPr>
                <w:rFonts w:ascii="Verdana" w:hAnsi="Verdana"/>
                <w:sz w:val="20"/>
                <w:szCs w:val="20"/>
              </w:rPr>
            </w:pPr>
            <w:r w:rsidRPr="00204BD5">
              <w:rPr>
                <w:rFonts w:ascii="Verdana" w:hAnsi="Verdana"/>
                <w:sz w:val="20"/>
                <w:szCs w:val="20"/>
              </w:rPr>
              <w:t>6.500</w:t>
            </w:r>
          </w:p>
        </w:tc>
      </w:tr>
      <w:tr w:rsidR="00E57C26" w:rsidRPr="00E57C26" w14:paraId="336D5089" w14:textId="77777777" w:rsidTr="00566135">
        <w:trPr>
          <w:trHeight w:val="288"/>
        </w:trPr>
        <w:tc>
          <w:tcPr>
            <w:tcW w:w="4957" w:type="dxa"/>
            <w:noWrap/>
            <w:hideMark/>
          </w:tcPr>
          <w:p w14:paraId="78B822F3" w14:textId="0CAB8E6A" w:rsidR="00E57C26" w:rsidRPr="00E57C26" w:rsidRDefault="00E57C26" w:rsidP="00FC0D67">
            <w:pPr>
              <w:rPr>
                <w:rFonts w:ascii="Verdana" w:hAnsi="Verdana"/>
                <w:sz w:val="20"/>
                <w:szCs w:val="20"/>
              </w:rPr>
            </w:pPr>
            <w:r w:rsidRPr="00E57C26">
              <w:rPr>
                <w:rFonts w:ascii="Verdana" w:hAnsi="Verdana"/>
                <w:sz w:val="20"/>
                <w:szCs w:val="20"/>
              </w:rPr>
              <w:t xml:space="preserve">Verkoop </w:t>
            </w:r>
            <w:r w:rsidR="001C09D5">
              <w:rPr>
                <w:rFonts w:ascii="Verdana" w:hAnsi="Verdana"/>
                <w:sz w:val="20"/>
                <w:szCs w:val="20"/>
              </w:rPr>
              <w:t>v</w:t>
            </w:r>
            <w:r w:rsidRPr="00E57C26">
              <w:rPr>
                <w:rFonts w:ascii="Verdana" w:hAnsi="Verdana"/>
                <w:sz w:val="20"/>
                <w:szCs w:val="20"/>
              </w:rPr>
              <w:t>erlaagd tarief gezinswoning 6%</w:t>
            </w:r>
          </w:p>
        </w:tc>
        <w:tc>
          <w:tcPr>
            <w:tcW w:w="1881" w:type="dxa"/>
            <w:noWrap/>
            <w:hideMark/>
          </w:tcPr>
          <w:p w14:paraId="3C3EBB37" w14:textId="40D92199" w:rsidR="00E57C26" w:rsidRPr="00E57C26" w:rsidRDefault="00204BD5" w:rsidP="00610F96">
            <w:pPr>
              <w:jc w:val="right"/>
              <w:rPr>
                <w:rFonts w:ascii="Verdana" w:hAnsi="Verdana"/>
                <w:sz w:val="20"/>
                <w:szCs w:val="20"/>
              </w:rPr>
            </w:pPr>
            <w:r w:rsidRPr="00204BD5">
              <w:rPr>
                <w:rFonts w:ascii="Verdana" w:hAnsi="Verdana"/>
                <w:sz w:val="20"/>
                <w:szCs w:val="20"/>
              </w:rPr>
              <w:t>91.662.907</w:t>
            </w:r>
          </w:p>
        </w:tc>
        <w:tc>
          <w:tcPr>
            <w:tcW w:w="2224" w:type="dxa"/>
            <w:noWrap/>
            <w:hideMark/>
          </w:tcPr>
          <w:p w14:paraId="4DA0F895" w14:textId="1ABB14B9" w:rsidR="00E57C26" w:rsidRPr="00E57C26" w:rsidRDefault="00204BD5" w:rsidP="00610F96">
            <w:pPr>
              <w:jc w:val="right"/>
              <w:rPr>
                <w:rFonts w:ascii="Verdana" w:hAnsi="Verdana"/>
                <w:sz w:val="20"/>
                <w:szCs w:val="20"/>
              </w:rPr>
            </w:pPr>
            <w:r w:rsidRPr="00204BD5">
              <w:rPr>
                <w:rFonts w:ascii="Verdana" w:hAnsi="Verdana"/>
                <w:sz w:val="20"/>
                <w:szCs w:val="20"/>
              </w:rPr>
              <w:t>23.307.002</w:t>
            </w:r>
          </w:p>
        </w:tc>
      </w:tr>
      <w:tr w:rsidR="00E57C26" w:rsidRPr="00E57C26" w14:paraId="3E9E333E" w14:textId="77777777" w:rsidTr="00566135">
        <w:trPr>
          <w:trHeight w:val="288"/>
        </w:trPr>
        <w:tc>
          <w:tcPr>
            <w:tcW w:w="4957" w:type="dxa"/>
            <w:noWrap/>
            <w:hideMark/>
          </w:tcPr>
          <w:p w14:paraId="03B75A89" w14:textId="1616C092" w:rsidR="00E57C26" w:rsidRPr="00E57C26" w:rsidRDefault="00FC0D67" w:rsidP="00E57C26">
            <w:pPr>
              <w:jc w:val="both"/>
              <w:rPr>
                <w:rFonts w:ascii="Verdana" w:hAnsi="Verdana"/>
                <w:sz w:val="20"/>
                <w:szCs w:val="20"/>
              </w:rPr>
            </w:pPr>
            <w:r w:rsidRPr="00FC0D67">
              <w:rPr>
                <w:rFonts w:ascii="Verdana" w:hAnsi="Verdana"/>
                <w:sz w:val="20"/>
                <w:szCs w:val="20"/>
              </w:rPr>
              <w:t xml:space="preserve">Verkoop </w:t>
            </w:r>
            <w:r w:rsidR="001C09D5">
              <w:rPr>
                <w:rFonts w:ascii="Verdana" w:hAnsi="Verdana"/>
                <w:sz w:val="20"/>
                <w:szCs w:val="20"/>
              </w:rPr>
              <w:t>v</w:t>
            </w:r>
            <w:r w:rsidRPr="00FC0D67">
              <w:rPr>
                <w:rFonts w:ascii="Verdana" w:hAnsi="Verdana"/>
                <w:sz w:val="20"/>
                <w:szCs w:val="20"/>
              </w:rPr>
              <w:t>erlaagd tarief gezinswoning 7%</w:t>
            </w:r>
          </w:p>
        </w:tc>
        <w:tc>
          <w:tcPr>
            <w:tcW w:w="1881" w:type="dxa"/>
            <w:noWrap/>
            <w:hideMark/>
          </w:tcPr>
          <w:p w14:paraId="3547D532" w14:textId="7DF72A18" w:rsidR="00E57C26" w:rsidRPr="00E57C26" w:rsidRDefault="00204BD5" w:rsidP="00610F96">
            <w:pPr>
              <w:jc w:val="right"/>
              <w:rPr>
                <w:rFonts w:ascii="Verdana" w:hAnsi="Verdana"/>
                <w:sz w:val="20"/>
                <w:szCs w:val="20"/>
              </w:rPr>
            </w:pPr>
            <w:r w:rsidRPr="00204BD5">
              <w:rPr>
                <w:rFonts w:ascii="Verdana" w:hAnsi="Verdana"/>
                <w:sz w:val="20"/>
                <w:szCs w:val="20"/>
              </w:rPr>
              <w:t>1.098</w:t>
            </w:r>
          </w:p>
        </w:tc>
        <w:tc>
          <w:tcPr>
            <w:tcW w:w="2224" w:type="dxa"/>
            <w:noWrap/>
            <w:hideMark/>
          </w:tcPr>
          <w:p w14:paraId="1FCAB569" w14:textId="0E16D203" w:rsidR="00E57C26" w:rsidRPr="00E57C26" w:rsidRDefault="00204BD5" w:rsidP="00610F96">
            <w:pPr>
              <w:jc w:val="right"/>
              <w:rPr>
                <w:rFonts w:ascii="Verdana" w:hAnsi="Verdana"/>
                <w:sz w:val="20"/>
                <w:szCs w:val="20"/>
              </w:rPr>
            </w:pPr>
            <w:r w:rsidRPr="00204BD5">
              <w:rPr>
                <w:rFonts w:ascii="Verdana" w:hAnsi="Verdana"/>
                <w:sz w:val="20"/>
                <w:szCs w:val="20"/>
              </w:rPr>
              <w:t>-</w:t>
            </w:r>
          </w:p>
        </w:tc>
      </w:tr>
      <w:tr w:rsidR="00E57C26" w:rsidRPr="00E57C26" w14:paraId="1B383D2E" w14:textId="77777777" w:rsidTr="00566135">
        <w:trPr>
          <w:trHeight w:val="288"/>
        </w:trPr>
        <w:tc>
          <w:tcPr>
            <w:tcW w:w="4957" w:type="dxa"/>
            <w:noWrap/>
            <w:hideMark/>
          </w:tcPr>
          <w:p w14:paraId="5620B0E8" w14:textId="1C8367E0" w:rsidR="00E57C26" w:rsidRPr="00E57C26" w:rsidRDefault="00FC0D67" w:rsidP="00E57C26">
            <w:pPr>
              <w:jc w:val="both"/>
              <w:rPr>
                <w:rFonts w:ascii="Verdana" w:hAnsi="Verdana"/>
                <w:sz w:val="20"/>
                <w:szCs w:val="20"/>
              </w:rPr>
            </w:pPr>
            <w:r w:rsidRPr="00FC0D67">
              <w:rPr>
                <w:rFonts w:ascii="Verdana" w:hAnsi="Verdana"/>
                <w:sz w:val="20"/>
                <w:szCs w:val="20"/>
              </w:rPr>
              <w:t xml:space="preserve">Verkoop </w:t>
            </w:r>
            <w:r w:rsidR="001C09D5">
              <w:rPr>
                <w:rFonts w:ascii="Verdana" w:hAnsi="Verdana"/>
                <w:sz w:val="20"/>
                <w:szCs w:val="20"/>
              </w:rPr>
              <w:t>v</w:t>
            </w:r>
            <w:r w:rsidRPr="00FC0D67">
              <w:rPr>
                <w:rFonts w:ascii="Verdana" w:hAnsi="Verdana"/>
                <w:sz w:val="20"/>
                <w:szCs w:val="20"/>
              </w:rPr>
              <w:t>erlaagd tarief gezinswoning IER 5%</w:t>
            </w:r>
          </w:p>
        </w:tc>
        <w:tc>
          <w:tcPr>
            <w:tcW w:w="1881" w:type="dxa"/>
            <w:noWrap/>
            <w:hideMark/>
          </w:tcPr>
          <w:p w14:paraId="18676B6D" w14:textId="7834CB59" w:rsidR="00E57C26" w:rsidRPr="00E57C26" w:rsidRDefault="00FC0D67" w:rsidP="00610F96">
            <w:pPr>
              <w:jc w:val="right"/>
              <w:rPr>
                <w:rFonts w:ascii="Verdana" w:hAnsi="Verdana"/>
                <w:sz w:val="20"/>
                <w:szCs w:val="20"/>
              </w:rPr>
            </w:pPr>
            <w:r w:rsidRPr="00FC0D67">
              <w:rPr>
                <w:rFonts w:ascii="Verdana" w:hAnsi="Verdana"/>
                <w:sz w:val="20"/>
                <w:szCs w:val="20"/>
              </w:rPr>
              <w:t>827.755</w:t>
            </w:r>
          </w:p>
        </w:tc>
        <w:tc>
          <w:tcPr>
            <w:tcW w:w="2224" w:type="dxa"/>
            <w:noWrap/>
            <w:hideMark/>
          </w:tcPr>
          <w:p w14:paraId="5290E1EE" w14:textId="299E5EFD" w:rsidR="00E57C26" w:rsidRPr="00E57C26" w:rsidRDefault="00FC0D67" w:rsidP="00610F96">
            <w:pPr>
              <w:jc w:val="right"/>
              <w:rPr>
                <w:rFonts w:ascii="Verdana" w:hAnsi="Verdana"/>
                <w:sz w:val="20"/>
                <w:szCs w:val="20"/>
              </w:rPr>
            </w:pPr>
            <w:r w:rsidRPr="00FC0D67">
              <w:rPr>
                <w:rFonts w:ascii="Verdana" w:hAnsi="Verdana"/>
                <w:sz w:val="20"/>
                <w:szCs w:val="20"/>
              </w:rPr>
              <w:t>374.634</w:t>
            </w:r>
          </w:p>
        </w:tc>
      </w:tr>
      <w:tr w:rsidR="00E57C26" w:rsidRPr="00E57C26" w14:paraId="60EBB045" w14:textId="77777777" w:rsidTr="00566135">
        <w:trPr>
          <w:trHeight w:val="288"/>
        </w:trPr>
        <w:tc>
          <w:tcPr>
            <w:tcW w:w="4957" w:type="dxa"/>
            <w:noWrap/>
            <w:hideMark/>
          </w:tcPr>
          <w:p w14:paraId="578FDFC2" w14:textId="3BAED525" w:rsidR="00E57C26" w:rsidRPr="00E57C26" w:rsidRDefault="00FC0D67" w:rsidP="00E57C26">
            <w:pPr>
              <w:jc w:val="both"/>
              <w:rPr>
                <w:rFonts w:ascii="Verdana" w:hAnsi="Verdana"/>
                <w:sz w:val="20"/>
                <w:szCs w:val="20"/>
              </w:rPr>
            </w:pPr>
            <w:r w:rsidRPr="00FC0D67">
              <w:rPr>
                <w:rFonts w:ascii="Verdana" w:hAnsi="Verdana"/>
                <w:sz w:val="20"/>
                <w:szCs w:val="20"/>
              </w:rPr>
              <w:t xml:space="preserve">Verkoop </w:t>
            </w:r>
            <w:r w:rsidR="001C09D5">
              <w:rPr>
                <w:rFonts w:ascii="Verdana" w:hAnsi="Verdana"/>
                <w:sz w:val="20"/>
                <w:szCs w:val="20"/>
              </w:rPr>
              <w:t>v</w:t>
            </w:r>
            <w:r w:rsidRPr="00FC0D67">
              <w:rPr>
                <w:rFonts w:ascii="Verdana" w:hAnsi="Verdana"/>
                <w:sz w:val="20"/>
                <w:szCs w:val="20"/>
              </w:rPr>
              <w:t>erlaagd tarief gezinswoning IER 6%</w:t>
            </w:r>
          </w:p>
        </w:tc>
        <w:tc>
          <w:tcPr>
            <w:tcW w:w="1881" w:type="dxa"/>
            <w:noWrap/>
            <w:hideMark/>
          </w:tcPr>
          <w:p w14:paraId="17195445" w14:textId="457BA497" w:rsidR="00E57C26" w:rsidRPr="00E57C26" w:rsidRDefault="00FC0D67" w:rsidP="00610F96">
            <w:pPr>
              <w:jc w:val="right"/>
              <w:rPr>
                <w:rFonts w:ascii="Verdana" w:hAnsi="Verdana"/>
                <w:sz w:val="20"/>
                <w:szCs w:val="20"/>
              </w:rPr>
            </w:pPr>
            <w:r w:rsidRPr="00FC0D67">
              <w:rPr>
                <w:rFonts w:ascii="Verdana" w:hAnsi="Verdana"/>
                <w:sz w:val="20"/>
                <w:szCs w:val="20"/>
              </w:rPr>
              <w:t>25.163</w:t>
            </w:r>
          </w:p>
        </w:tc>
        <w:tc>
          <w:tcPr>
            <w:tcW w:w="2224" w:type="dxa"/>
            <w:noWrap/>
            <w:hideMark/>
          </w:tcPr>
          <w:p w14:paraId="41C29570" w14:textId="6C997C7B" w:rsidR="00E57C26" w:rsidRPr="00E57C26" w:rsidRDefault="00FC0D67" w:rsidP="00610F96">
            <w:pPr>
              <w:jc w:val="right"/>
              <w:rPr>
                <w:rFonts w:ascii="Verdana" w:hAnsi="Verdana"/>
                <w:sz w:val="20"/>
                <w:szCs w:val="20"/>
              </w:rPr>
            </w:pPr>
            <w:r w:rsidRPr="00FC0D67">
              <w:rPr>
                <w:rFonts w:ascii="Verdana" w:hAnsi="Verdana"/>
                <w:sz w:val="20"/>
                <w:szCs w:val="20"/>
              </w:rPr>
              <w:t>8.300</w:t>
            </w:r>
          </w:p>
        </w:tc>
      </w:tr>
      <w:tr w:rsidR="00E57C26" w:rsidRPr="00E57C26" w14:paraId="4B04E8BC" w14:textId="77777777" w:rsidTr="00566135">
        <w:trPr>
          <w:trHeight w:val="288"/>
        </w:trPr>
        <w:tc>
          <w:tcPr>
            <w:tcW w:w="4957" w:type="dxa"/>
            <w:noWrap/>
            <w:hideMark/>
          </w:tcPr>
          <w:p w14:paraId="4CD624F3" w14:textId="57497185" w:rsidR="00E57C26" w:rsidRPr="00E57C26" w:rsidRDefault="00FC0D67" w:rsidP="00E57C26">
            <w:pPr>
              <w:jc w:val="both"/>
              <w:rPr>
                <w:rFonts w:ascii="Verdana" w:hAnsi="Verdana"/>
                <w:sz w:val="20"/>
                <w:szCs w:val="20"/>
              </w:rPr>
            </w:pPr>
            <w:r w:rsidRPr="00FC0D67">
              <w:rPr>
                <w:rFonts w:ascii="Verdana" w:hAnsi="Verdana"/>
                <w:sz w:val="20"/>
                <w:szCs w:val="20"/>
              </w:rPr>
              <w:t xml:space="preserve">Verkoop </w:t>
            </w:r>
            <w:r w:rsidR="001C09D5">
              <w:rPr>
                <w:rFonts w:ascii="Verdana" w:hAnsi="Verdana"/>
                <w:sz w:val="20"/>
                <w:szCs w:val="20"/>
              </w:rPr>
              <w:t>v</w:t>
            </w:r>
            <w:r w:rsidRPr="00FC0D67">
              <w:rPr>
                <w:rFonts w:ascii="Verdana" w:hAnsi="Verdana"/>
                <w:sz w:val="20"/>
                <w:szCs w:val="20"/>
              </w:rPr>
              <w:t>erlaagd tarief gezinswoning sloop heropbouw 5%</w:t>
            </w:r>
          </w:p>
        </w:tc>
        <w:tc>
          <w:tcPr>
            <w:tcW w:w="1881" w:type="dxa"/>
            <w:noWrap/>
            <w:hideMark/>
          </w:tcPr>
          <w:p w14:paraId="51620B14" w14:textId="6440AB83" w:rsidR="00E57C26" w:rsidRPr="00E57C26" w:rsidRDefault="00FC0D67" w:rsidP="00610F96">
            <w:pPr>
              <w:jc w:val="right"/>
              <w:rPr>
                <w:rFonts w:ascii="Verdana" w:hAnsi="Verdana"/>
                <w:sz w:val="20"/>
                <w:szCs w:val="20"/>
              </w:rPr>
            </w:pPr>
            <w:r w:rsidRPr="00FC0D67">
              <w:rPr>
                <w:rFonts w:ascii="Verdana" w:hAnsi="Verdana"/>
                <w:sz w:val="20"/>
                <w:szCs w:val="20"/>
              </w:rPr>
              <w:t>4.693</w:t>
            </w:r>
          </w:p>
        </w:tc>
        <w:tc>
          <w:tcPr>
            <w:tcW w:w="2224" w:type="dxa"/>
            <w:noWrap/>
            <w:hideMark/>
          </w:tcPr>
          <w:p w14:paraId="394FF208" w14:textId="53B26E4D" w:rsidR="00E57C26" w:rsidRPr="00E57C26" w:rsidRDefault="00FC0D67" w:rsidP="00610F96">
            <w:pPr>
              <w:jc w:val="right"/>
              <w:rPr>
                <w:rFonts w:ascii="Verdana" w:hAnsi="Verdana"/>
                <w:sz w:val="20"/>
                <w:szCs w:val="20"/>
              </w:rPr>
            </w:pPr>
            <w:r w:rsidRPr="00FC0D67">
              <w:rPr>
                <w:rFonts w:ascii="Verdana" w:hAnsi="Verdana"/>
                <w:sz w:val="20"/>
                <w:szCs w:val="20"/>
              </w:rPr>
              <w:t>11.000</w:t>
            </w:r>
          </w:p>
        </w:tc>
      </w:tr>
      <w:tr w:rsidR="00E57C26" w:rsidRPr="00E57C26" w14:paraId="04DCF405" w14:textId="77777777" w:rsidTr="00566135">
        <w:trPr>
          <w:trHeight w:val="288"/>
        </w:trPr>
        <w:tc>
          <w:tcPr>
            <w:tcW w:w="4957" w:type="dxa"/>
            <w:noWrap/>
            <w:hideMark/>
          </w:tcPr>
          <w:p w14:paraId="1661473F" w14:textId="7F3E7096" w:rsidR="00E57C26" w:rsidRPr="00E57C26" w:rsidRDefault="00FC0D67" w:rsidP="00E57C26">
            <w:pPr>
              <w:jc w:val="both"/>
              <w:rPr>
                <w:rFonts w:ascii="Verdana" w:hAnsi="Verdana"/>
                <w:sz w:val="20"/>
                <w:szCs w:val="20"/>
              </w:rPr>
            </w:pPr>
            <w:r w:rsidRPr="00FC0D67">
              <w:rPr>
                <w:rFonts w:ascii="Verdana" w:hAnsi="Verdana"/>
                <w:sz w:val="20"/>
                <w:szCs w:val="20"/>
              </w:rPr>
              <w:t xml:space="preserve">Verkoop </w:t>
            </w:r>
            <w:r w:rsidR="001C09D5">
              <w:rPr>
                <w:rFonts w:ascii="Verdana" w:hAnsi="Verdana"/>
                <w:sz w:val="20"/>
                <w:szCs w:val="20"/>
              </w:rPr>
              <w:t>v</w:t>
            </w:r>
            <w:r w:rsidRPr="00FC0D67">
              <w:rPr>
                <w:rFonts w:ascii="Verdana" w:hAnsi="Verdana"/>
                <w:sz w:val="20"/>
                <w:szCs w:val="20"/>
              </w:rPr>
              <w:t>erlaagd tarief onroerend erfgoed 1%</w:t>
            </w:r>
          </w:p>
        </w:tc>
        <w:tc>
          <w:tcPr>
            <w:tcW w:w="1881" w:type="dxa"/>
            <w:noWrap/>
            <w:hideMark/>
          </w:tcPr>
          <w:p w14:paraId="268B47A2" w14:textId="4BE56019" w:rsidR="00E57C26" w:rsidRPr="00E57C26" w:rsidRDefault="00FC0D67" w:rsidP="00610F96">
            <w:pPr>
              <w:jc w:val="right"/>
              <w:rPr>
                <w:rFonts w:ascii="Verdana" w:hAnsi="Verdana"/>
                <w:sz w:val="20"/>
                <w:szCs w:val="20"/>
              </w:rPr>
            </w:pPr>
            <w:r w:rsidRPr="00FC0D67">
              <w:rPr>
                <w:rFonts w:ascii="Verdana" w:hAnsi="Verdana"/>
                <w:sz w:val="20"/>
                <w:szCs w:val="20"/>
              </w:rPr>
              <w:t>32.755</w:t>
            </w:r>
          </w:p>
        </w:tc>
        <w:tc>
          <w:tcPr>
            <w:tcW w:w="2224" w:type="dxa"/>
            <w:noWrap/>
            <w:hideMark/>
          </w:tcPr>
          <w:p w14:paraId="4847C853" w14:textId="75EAE577" w:rsidR="00E57C26" w:rsidRPr="00E57C26" w:rsidRDefault="00FC0D67" w:rsidP="00610F96">
            <w:pPr>
              <w:jc w:val="right"/>
              <w:rPr>
                <w:rFonts w:ascii="Verdana" w:hAnsi="Verdana"/>
                <w:sz w:val="20"/>
                <w:szCs w:val="20"/>
              </w:rPr>
            </w:pPr>
            <w:r w:rsidRPr="00FC0D67">
              <w:rPr>
                <w:rFonts w:ascii="Verdana" w:hAnsi="Verdana"/>
                <w:sz w:val="20"/>
                <w:szCs w:val="20"/>
              </w:rPr>
              <w:t>19.162</w:t>
            </w:r>
          </w:p>
        </w:tc>
      </w:tr>
      <w:tr w:rsidR="00E57C26" w:rsidRPr="00E57C26" w14:paraId="552D04CB" w14:textId="77777777" w:rsidTr="00566135">
        <w:trPr>
          <w:trHeight w:val="288"/>
        </w:trPr>
        <w:tc>
          <w:tcPr>
            <w:tcW w:w="4957" w:type="dxa"/>
            <w:noWrap/>
            <w:hideMark/>
          </w:tcPr>
          <w:p w14:paraId="7B5F1EC0" w14:textId="2A8FE622" w:rsidR="00E57C26" w:rsidRPr="00E57C26" w:rsidRDefault="00204BD5" w:rsidP="00204BD5">
            <w:pPr>
              <w:rPr>
                <w:rFonts w:ascii="Verdana" w:hAnsi="Verdana"/>
                <w:b/>
                <w:bCs/>
                <w:sz w:val="20"/>
                <w:szCs w:val="20"/>
              </w:rPr>
            </w:pPr>
            <w:r w:rsidRPr="00204BD5">
              <w:rPr>
                <w:rFonts w:ascii="Verdana" w:hAnsi="Verdana"/>
                <w:b/>
                <w:bCs/>
                <w:sz w:val="20"/>
                <w:szCs w:val="20"/>
              </w:rPr>
              <w:t>TOTAAL</w:t>
            </w:r>
          </w:p>
        </w:tc>
        <w:tc>
          <w:tcPr>
            <w:tcW w:w="1881" w:type="dxa"/>
            <w:noWrap/>
            <w:hideMark/>
          </w:tcPr>
          <w:p w14:paraId="79BB0C52" w14:textId="60D8AB40" w:rsidR="00E57C26" w:rsidRPr="00E57C26" w:rsidRDefault="00204BD5" w:rsidP="00610F96">
            <w:pPr>
              <w:jc w:val="right"/>
              <w:rPr>
                <w:rFonts w:ascii="Verdana" w:hAnsi="Verdana"/>
                <w:b/>
                <w:bCs/>
                <w:sz w:val="20"/>
                <w:szCs w:val="20"/>
              </w:rPr>
            </w:pPr>
            <w:r w:rsidRPr="00204BD5">
              <w:rPr>
                <w:rFonts w:ascii="Verdana" w:hAnsi="Verdana"/>
                <w:b/>
                <w:bCs/>
                <w:sz w:val="20"/>
                <w:szCs w:val="20"/>
              </w:rPr>
              <w:t>116.889.949</w:t>
            </w:r>
          </w:p>
        </w:tc>
        <w:tc>
          <w:tcPr>
            <w:tcW w:w="2224" w:type="dxa"/>
            <w:noWrap/>
            <w:hideMark/>
          </w:tcPr>
          <w:p w14:paraId="17D4AE3C" w14:textId="5DD32316" w:rsidR="00E57C26" w:rsidRPr="00E57C26" w:rsidRDefault="00204BD5" w:rsidP="00610F96">
            <w:pPr>
              <w:jc w:val="right"/>
              <w:rPr>
                <w:rFonts w:ascii="Verdana" w:hAnsi="Verdana"/>
                <w:b/>
                <w:bCs/>
                <w:sz w:val="20"/>
                <w:szCs w:val="20"/>
              </w:rPr>
            </w:pPr>
            <w:r w:rsidRPr="00204BD5">
              <w:rPr>
                <w:rFonts w:ascii="Verdana" w:hAnsi="Verdana"/>
                <w:b/>
                <w:bCs/>
                <w:sz w:val="20"/>
                <w:szCs w:val="20"/>
              </w:rPr>
              <w:t>32.</w:t>
            </w:r>
            <w:r w:rsidR="00FC0D67">
              <w:rPr>
                <w:rFonts w:ascii="Verdana" w:hAnsi="Verdana"/>
                <w:b/>
                <w:bCs/>
                <w:sz w:val="20"/>
                <w:szCs w:val="20"/>
              </w:rPr>
              <w:t>178.469</w:t>
            </w:r>
          </w:p>
        </w:tc>
      </w:tr>
    </w:tbl>
    <w:p w14:paraId="5D4B6A9A" w14:textId="77777777" w:rsidR="00803DB2" w:rsidRDefault="00803DB2" w:rsidP="00FC0D67">
      <w:pPr>
        <w:jc w:val="both"/>
        <w:rPr>
          <w:rFonts w:ascii="Verdana" w:hAnsi="Verdana"/>
          <w:sz w:val="20"/>
          <w:szCs w:val="20"/>
        </w:rPr>
      </w:pPr>
    </w:p>
    <w:p w14:paraId="2AAA9F84" w14:textId="7DACEE7B" w:rsidR="005D21F1" w:rsidRPr="005D21F1" w:rsidRDefault="005D21F1" w:rsidP="00E21903">
      <w:pPr>
        <w:numPr>
          <w:ilvl w:val="0"/>
          <w:numId w:val="15"/>
        </w:numPr>
        <w:ind w:left="284" w:hanging="284"/>
        <w:jc w:val="both"/>
        <w:rPr>
          <w:rFonts w:ascii="Verdana" w:hAnsi="Verdana"/>
          <w:sz w:val="20"/>
          <w:szCs w:val="20"/>
        </w:rPr>
      </w:pPr>
      <w:r w:rsidRPr="005D21F1">
        <w:rPr>
          <w:rFonts w:ascii="Verdana" w:hAnsi="Verdana"/>
          <w:sz w:val="20"/>
          <w:szCs w:val="20"/>
        </w:rPr>
        <w:t xml:space="preserve">In onderstaande tabel </w:t>
      </w:r>
      <w:r>
        <w:rPr>
          <w:rFonts w:ascii="Verdana" w:hAnsi="Verdana"/>
          <w:sz w:val="20"/>
          <w:szCs w:val="20"/>
        </w:rPr>
        <w:t>vindt u voor aanslagjaa</w:t>
      </w:r>
      <w:r w:rsidR="006F314C">
        <w:rPr>
          <w:rFonts w:ascii="Verdana" w:hAnsi="Verdana"/>
          <w:sz w:val="20"/>
          <w:szCs w:val="20"/>
        </w:rPr>
        <w:t>r</w:t>
      </w:r>
      <w:r>
        <w:rPr>
          <w:rFonts w:ascii="Verdana" w:hAnsi="Verdana"/>
          <w:sz w:val="20"/>
          <w:szCs w:val="20"/>
        </w:rPr>
        <w:t xml:space="preserve"> 2021</w:t>
      </w:r>
      <w:r w:rsidR="006F314C">
        <w:rPr>
          <w:rFonts w:ascii="Verdana" w:hAnsi="Verdana"/>
          <w:sz w:val="20"/>
          <w:szCs w:val="20"/>
        </w:rPr>
        <w:t xml:space="preserve"> </w:t>
      </w:r>
      <w:r w:rsidR="006F314C" w:rsidRPr="006F314C">
        <w:rPr>
          <w:rFonts w:ascii="Verdana" w:hAnsi="Verdana"/>
          <w:sz w:val="20"/>
          <w:szCs w:val="20"/>
        </w:rPr>
        <w:t xml:space="preserve">de verschuldigde </w:t>
      </w:r>
      <w:r w:rsidR="006F314C">
        <w:rPr>
          <w:rFonts w:ascii="Verdana" w:hAnsi="Verdana"/>
          <w:sz w:val="20"/>
          <w:szCs w:val="20"/>
        </w:rPr>
        <w:t>schenkbelasting</w:t>
      </w:r>
      <w:r w:rsidR="006F314C" w:rsidRPr="006F314C">
        <w:rPr>
          <w:rFonts w:ascii="Verdana" w:hAnsi="Verdana"/>
          <w:sz w:val="20"/>
          <w:szCs w:val="20"/>
        </w:rPr>
        <w:t xml:space="preserve"> na verminderingen en vrijstellingen, opgedeeld volgens de aard van de geschonken goederen</w:t>
      </w:r>
      <w:r w:rsidR="006F314C">
        <w:rPr>
          <w:rFonts w:ascii="Verdana" w:hAnsi="Verdana"/>
          <w:sz w:val="20"/>
          <w:szCs w:val="20"/>
        </w:rPr>
        <w:t xml:space="preserve">. </w:t>
      </w:r>
    </w:p>
    <w:p w14:paraId="6EB643BF" w14:textId="77777777" w:rsidR="005D21F1" w:rsidRPr="005D21F1" w:rsidRDefault="005D21F1" w:rsidP="005D21F1">
      <w:pPr>
        <w:rPr>
          <w:rFonts w:ascii="Verdana" w:hAnsi="Verdana"/>
          <w:sz w:val="20"/>
          <w:szCs w:val="20"/>
        </w:rPr>
      </w:pPr>
    </w:p>
    <w:tbl>
      <w:tblPr>
        <w:tblStyle w:val="Tabelraster"/>
        <w:tblW w:w="0" w:type="auto"/>
        <w:tblLook w:val="04A0" w:firstRow="1" w:lastRow="0" w:firstColumn="1" w:lastColumn="0" w:noHBand="0" w:noVBand="1"/>
      </w:tblPr>
      <w:tblGrid>
        <w:gridCol w:w="4531"/>
        <w:gridCol w:w="4531"/>
      </w:tblGrid>
      <w:tr w:rsidR="006F314C" w14:paraId="1051F319" w14:textId="77777777" w:rsidTr="006F314C">
        <w:tc>
          <w:tcPr>
            <w:tcW w:w="4531" w:type="dxa"/>
          </w:tcPr>
          <w:p w14:paraId="5C4C812D" w14:textId="6E45D1B4" w:rsidR="006F314C" w:rsidRPr="008378C8" w:rsidRDefault="00514CF7" w:rsidP="00E21903">
            <w:pPr>
              <w:rPr>
                <w:rFonts w:ascii="Verdana" w:hAnsi="Verdana"/>
                <w:b/>
                <w:bCs/>
                <w:sz w:val="20"/>
                <w:szCs w:val="20"/>
              </w:rPr>
            </w:pPr>
            <w:r>
              <w:rPr>
                <w:rFonts w:ascii="Verdana" w:hAnsi="Verdana"/>
                <w:b/>
                <w:bCs/>
                <w:sz w:val="20"/>
                <w:szCs w:val="20"/>
              </w:rPr>
              <w:t>Aard goederen</w:t>
            </w:r>
          </w:p>
        </w:tc>
        <w:tc>
          <w:tcPr>
            <w:tcW w:w="4531" w:type="dxa"/>
          </w:tcPr>
          <w:p w14:paraId="7E049195" w14:textId="72A6D60A" w:rsidR="006F314C" w:rsidRDefault="008378C8" w:rsidP="00E21903">
            <w:pPr>
              <w:jc w:val="right"/>
              <w:rPr>
                <w:rFonts w:ascii="Verdana" w:hAnsi="Verdana"/>
                <w:sz w:val="20"/>
                <w:szCs w:val="20"/>
              </w:rPr>
            </w:pPr>
            <w:r w:rsidRPr="008378C8">
              <w:rPr>
                <w:rFonts w:ascii="Verdana" w:hAnsi="Verdana"/>
                <w:b/>
                <w:bCs/>
                <w:sz w:val="20"/>
                <w:szCs w:val="20"/>
              </w:rPr>
              <w:t xml:space="preserve">Verschuldigde rechten </w:t>
            </w:r>
            <w:r w:rsidR="006C15A8">
              <w:rPr>
                <w:rFonts w:ascii="Verdana" w:hAnsi="Verdana"/>
                <w:b/>
                <w:bCs/>
                <w:sz w:val="20"/>
                <w:szCs w:val="20"/>
              </w:rPr>
              <w:t>(in euro)</w:t>
            </w:r>
          </w:p>
        </w:tc>
      </w:tr>
      <w:tr w:rsidR="006F314C" w14:paraId="49838DA0" w14:textId="77777777" w:rsidTr="006F314C">
        <w:tc>
          <w:tcPr>
            <w:tcW w:w="4531" w:type="dxa"/>
          </w:tcPr>
          <w:p w14:paraId="32E7C433" w14:textId="2BBEC5D5" w:rsidR="006F314C" w:rsidRDefault="008378C8" w:rsidP="00E52FB8">
            <w:pPr>
              <w:rPr>
                <w:rFonts w:ascii="Verdana" w:hAnsi="Verdana"/>
                <w:sz w:val="20"/>
                <w:szCs w:val="20"/>
              </w:rPr>
            </w:pPr>
            <w:r>
              <w:rPr>
                <w:rFonts w:ascii="Verdana" w:hAnsi="Verdana"/>
                <w:sz w:val="20"/>
                <w:szCs w:val="20"/>
              </w:rPr>
              <w:t>Schenking onroerend</w:t>
            </w:r>
          </w:p>
        </w:tc>
        <w:tc>
          <w:tcPr>
            <w:tcW w:w="4531" w:type="dxa"/>
          </w:tcPr>
          <w:p w14:paraId="005EA243" w14:textId="714C48CB" w:rsidR="006F314C" w:rsidRDefault="00E17D4B" w:rsidP="00DD0563">
            <w:pPr>
              <w:jc w:val="right"/>
              <w:rPr>
                <w:rFonts w:ascii="Verdana" w:hAnsi="Verdana"/>
                <w:sz w:val="20"/>
                <w:szCs w:val="20"/>
              </w:rPr>
            </w:pPr>
            <w:r w:rsidRPr="00E17D4B">
              <w:rPr>
                <w:rFonts w:ascii="Verdana" w:hAnsi="Verdana"/>
                <w:sz w:val="20"/>
                <w:szCs w:val="20"/>
              </w:rPr>
              <w:t>230.618.24</w:t>
            </w:r>
            <w:r w:rsidR="006A22E2">
              <w:rPr>
                <w:rFonts w:ascii="Verdana" w:hAnsi="Verdana"/>
                <w:sz w:val="20"/>
                <w:szCs w:val="20"/>
              </w:rPr>
              <w:t>2</w:t>
            </w:r>
          </w:p>
        </w:tc>
      </w:tr>
      <w:tr w:rsidR="006F314C" w14:paraId="433AC647" w14:textId="77777777" w:rsidTr="006F314C">
        <w:tc>
          <w:tcPr>
            <w:tcW w:w="4531" w:type="dxa"/>
          </w:tcPr>
          <w:p w14:paraId="56DD1030" w14:textId="0F37AD3E" w:rsidR="006F314C" w:rsidRDefault="008378C8" w:rsidP="00E52FB8">
            <w:pPr>
              <w:rPr>
                <w:rFonts w:ascii="Verdana" w:hAnsi="Verdana"/>
                <w:sz w:val="20"/>
                <w:szCs w:val="20"/>
              </w:rPr>
            </w:pPr>
            <w:r>
              <w:rPr>
                <w:rFonts w:ascii="Verdana" w:hAnsi="Verdana"/>
                <w:sz w:val="20"/>
                <w:szCs w:val="20"/>
              </w:rPr>
              <w:t>Schenking roerend</w:t>
            </w:r>
          </w:p>
        </w:tc>
        <w:tc>
          <w:tcPr>
            <w:tcW w:w="4531" w:type="dxa"/>
          </w:tcPr>
          <w:p w14:paraId="79C2DA39" w14:textId="31DA602C" w:rsidR="006F314C" w:rsidRDefault="00DD0563" w:rsidP="00DD0563">
            <w:pPr>
              <w:jc w:val="right"/>
              <w:rPr>
                <w:rFonts w:ascii="Verdana" w:hAnsi="Verdana"/>
                <w:sz w:val="20"/>
                <w:szCs w:val="20"/>
              </w:rPr>
            </w:pPr>
            <w:r w:rsidRPr="00DD0563">
              <w:rPr>
                <w:rFonts w:ascii="Verdana" w:hAnsi="Verdana"/>
                <w:sz w:val="20"/>
                <w:szCs w:val="20"/>
              </w:rPr>
              <w:t>269.178.85</w:t>
            </w:r>
            <w:r w:rsidR="006A22E2">
              <w:rPr>
                <w:rFonts w:ascii="Verdana" w:hAnsi="Verdana"/>
                <w:sz w:val="20"/>
                <w:szCs w:val="20"/>
              </w:rPr>
              <w:t>8</w:t>
            </w:r>
          </w:p>
        </w:tc>
      </w:tr>
      <w:tr w:rsidR="00E17D4B" w14:paraId="0A4ED402" w14:textId="77777777" w:rsidTr="006F314C">
        <w:tc>
          <w:tcPr>
            <w:tcW w:w="4531" w:type="dxa"/>
          </w:tcPr>
          <w:p w14:paraId="49C6108B" w14:textId="1AAF0962" w:rsidR="00E17D4B" w:rsidRPr="00E17D4B" w:rsidRDefault="00E17D4B" w:rsidP="00E52FB8">
            <w:pPr>
              <w:rPr>
                <w:rFonts w:ascii="Verdana" w:hAnsi="Verdana"/>
                <w:b/>
                <w:bCs/>
                <w:sz w:val="20"/>
                <w:szCs w:val="20"/>
              </w:rPr>
            </w:pPr>
            <w:r w:rsidRPr="00E17D4B">
              <w:rPr>
                <w:rFonts w:ascii="Verdana" w:hAnsi="Verdana"/>
                <w:b/>
                <w:bCs/>
                <w:sz w:val="20"/>
                <w:szCs w:val="20"/>
              </w:rPr>
              <w:t>TOTAAL</w:t>
            </w:r>
          </w:p>
        </w:tc>
        <w:tc>
          <w:tcPr>
            <w:tcW w:w="4531" w:type="dxa"/>
          </w:tcPr>
          <w:p w14:paraId="4E756FCC" w14:textId="51CC4267" w:rsidR="00E17D4B" w:rsidRPr="00DD0563" w:rsidRDefault="00DD0563" w:rsidP="00DD0563">
            <w:pPr>
              <w:jc w:val="right"/>
              <w:rPr>
                <w:rFonts w:ascii="Verdana" w:hAnsi="Verdana"/>
                <w:b/>
                <w:bCs/>
                <w:sz w:val="20"/>
                <w:szCs w:val="20"/>
              </w:rPr>
            </w:pPr>
            <w:r w:rsidRPr="00DD0563">
              <w:rPr>
                <w:rFonts w:ascii="Verdana" w:hAnsi="Verdana"/>
                <w:b/>
                <w:bCs/>
                <w:sz w:val="20"/>
                <w:szCs w:val="20"/>
              </w:rPr>
              <w:t>499.797.</w:t>
            </w:r>
            <w:r w:rsidR="000936F5">
              <w:rPr>
                <w:rFonts w:ascii="Verdana" w:hAnsi="Verdana"/>
                <w:b/>
                <w:bCs/>
                <w:sz w:val="20"/>
                <w:szCs w:val="20"/>
              </w:rPr>
              <w:t>100</w:t>
            </w:r>
          </w:p>
        </w:tc>
      </w:tr>
    </w:tbl>
    <w:p w14:paraId="554981D6" w14:textId="77777777" w:rsidR="006F314C" w:rsidRDefault="006F314C" w:rsidP="00E52FB8">
      <w:pPr>
        <w:rPr>
          <w:rFonts w:ascii="Verdana" w:hAnsi="Verdana"/>
          <w:sz w:val="20"/>
          <w:szCs w:val="20"/>
        </w:rPr>
      </w:pPr>
    </w:p>
    <w:p w14:paraId="6AFD9B22" w14:textId="7FD1D6D5" w:rsidR="00E52FB8" w:rsidRPr="00E21903" w:rsidRDefault="00E52FB8" w:rsidP="00E21903">
      <w:pPr>
        <w:ind w:left="284"/>
        <w:jc w:val="both"/>
        <w:rPr>
          <w:rFonts w:ascii="Verdana" w:hAnsi="Verdana"/>
          <w:sz w:val="20"/>
          <w:szCs w:val="20"/>
        </w:rPr>
      </w:pPr>
      <w:r w:rsidRPr="00E21903">
        <w:rPr>
          <w:rFonts w:ascii="Verdana" w:hAnsi="Verdana"/>
          <w:sz w:val="20"/>
          <w:szCs w:val="20"/>
        </w:rPr>
        <w:t>Volgens de ESR-</w:t>
      </w:r>
      <w:proofErr w:type="spellStart"/>
      <w:r w:rsidRPr="00E21903">
        <w:rPr>
          <w:rFonts w:ascii="Verdana" w:hAnsi="Verdana"/>
          <w:sz w:val="20"/>
          <w:szCs w:val="20"/>
        </w:rPr>
        <w:t>aanrekeningsmethode</w:t>
      </w:r>
      <w:proofErr w:type="spellEnd"/>
      <w:r w:rsidRPr="00E21903">
        <w:rPr>
          <w:rFonts w:ascii="Verdana" w:hAnsi="Verdana"/>
          <w:sz w:val="20"/>
          <w:szCs w:val="20"/>
        </w:rPr>
        <w:t xml:space="preserve"> werd voor </w:t>
      </w:r>
      <w:r w:rsidR="002D75CC" w:rsidRPr="00E21903">
        <w:rPr>
          <w:rFonts w:ascii="Verdana" w:hAnsi="Verdana"/>
          <w:sz w:val="20"/>
          <w:szCs w:val="20"/>
        </w:rPr>
        <w:t>2021</w:t>
      </w:r>
      <w:r w:rsidRPr="00E21903">
        <w:rPr>
          <w:rFonts w:ascii="Verdana" w:hAnsi="Verdana"/>
          <w:sz w:val="20"/>
          <w:szCs w:val="20"/>
        </w:rPr>
        <w:t xml:space="preserve"> </w:t>
      </w:r>
      <w:r w:rsidR="002D75CC" w:rsidRPr="00E21903">
        <w:rPr>
          <w:rFonts w:ascii="Verdana" w:hAnsi="Verdana"/>
          <w:sz w:val="20"/>
          <w:szCs w:val="20"/>
        </w:rPr>
        <w:t xml:space="preserve">498.701.141,37 </w:t>
      </w:r>
      <w:r w:rsidRPr="00E21903">
        <w:rPr>
          <w:rFonts w:ascii="Verdana" w:hAnsi="Verdana"/>
          <w:sz w:val="20"/>
          <w:szCs w:val="20"/>
        </w:rPr>
        <w:t xml:space="preserve">euro (inclusief intresten en kosten) aan </w:t>
      </w:r>
      <w:r w:rsidR="002D75CC" w:rsidRPr="00E21903">
        <w:rPr>
          <w:rFonts w:ascii="Verdana" w:hAnsi="Verdana"/>
          <w:sz w:val="20"/>
          <w:szCs w:val="20"/>
        </w:rPr>
        <w:t>schenkbelasting</w:t>
      </w:r>
      <w:r w:rsidRPr="00E21903">
        <w:rPr>
          <w:rFonts w:ascii="Verdana" w:hAnsi="Verdana"/>
          <w:sz w:val="20"/>
          <w:szCs w:val="20"/>
        </w:rPr>
        <w:t xml:space="preserve"> ontvangen</w:t>
      </w:r>
      <w:r w:rsidR="002D75CC" w:rsidRPr="00E21903">
        <w:rPr>
          <w:rFonts w:ascii="Verdana" w:hAnsi="Verdana"/>
          <w:sz w:val="20"/>
          <w:szCs w:val="20"/>
        </w:rPr>
        <w:t>, waarvan 229.793.607,72 euro voor onroerende schenkingen en 268.907.533,65 euro voor roerende schenkingen.</w:t>
      </w:r>
      <w:r w:rsidR="00ED2BA9" w:rsidRPr="00E21903">
        <w:rPr>
          <w:rFonts w:ascii="Verdana" w:hAnsi="Verdana"/>
          <w:sz w:val="20"/>
          <w:szCs w:val="20"/>
        </w:rPr>
        <w:t xml:space="preserve"> </w:t>
      </w:r>
    </w:p>
    <w:p w14:paraId="14AF87BC" w14:textId="5D408CCB" w:rsidR="00803DB2" w:rsidRDefault="00803DB2" w:rsidP="00803DB2">
      <w:pPr>
        <w:jc w:val="both"/>
        <w:rPr>
          <w:rFonts w:ascii="Verdana" w:hAnsi="Verdana"/>
          <w:sz w:val="20"/>
          <w:szCs w:val="20"/>
        </w:rPr>
      </w:pPr>
    </w:p>
    <w:p w14:paraId="3EC2E6F3" w14:textId="3569AF33" w:rsidR="00BB017F" w:rsidRPr="00BB017F" w:rsidRDefault="00F1040D" w:rsidP="00E21903">
      <w:pPr>
        <w:numPr>
          <w:ilvl w:val="0"/>
          <w:numId w:val="15"/>
        </w:numPr>
        <w:ind w:left="284" w:hanging="284"/>
        <w:jc w:val="both"/>
        <w:rPr>
          <w:rFonts w:ascii="Verdana" w:hAnsi="Verdana"/>
          <w:sz w:val="20"/>
          <w:szCs w:val="20"/>
        </w:rPr>
      </w:pPr>
      <w:r>
        <w:rPr>
          <w:rFonts w:ascii="Verdana" w:hAnsi="Verdana"/>
          <w:sz w:val="20"/>
          <w:szCs w:val="20"/>
        </w:rPr>
        <w:t>Afzonderlijke</w:t>
      </w:r>
      <w:r w:rsidRPr="00BB017F">
        <w:rPr>
          <w:rFonts w:ascii="Verdana" w:hAnsi="Verdana"/>
          <w:sz w:val="20"/>
          <w:szCs w:val="20"/>
        </w:rPr>
        <w:t xml:space="preserve"> </w:t>
      </w:r>
      <w:r>
        <w:rPr>
          <w:rFonts w:ascii="Verdana" w:hAnsi="Verdana"/>
          <w:sz w:val="20"/>
          <w:szCs w:val="20"/>
        </w:rPr>
        <w:t>g</w:t>
      </w:r>
      <w:r w:rsidR="00BB017F" w:rsidRPr="00BB017F">
        <w:rPr>
          <w:rFonts w:ascii="Verdana" w:hAnsi="Verdana"/>
          <w:sz w:val="20"/>
          <w:szCs w:val="20"/>
        </w:rPr>
        <w:t>egevens over aankopen van gronden zijn niet beschikbaar voor automatische rapportering</w:t>
      </w:r>
      <w:r>
        <w:rPr>
          <w:rFonts w:ascii="Verdana" w:hAnsi="Verdana"/>
          <w:sz w:val="20"/>
          <w:szCs w:val="20"/>
        </w:rPr>
        <w:t>, maar gronden kunnen deel uitmaken van tariefcategorieën die zijn opgenomen bij vraag 1</w:t>
      </w:r>
      <w:r w:rsidR="00BB017F" w:rsidRPr="00BB017F">
        <w:rPr>
          <w:rFonts w:ascii="Verdana" w:hAnsi="Verdana"/>
          <w:sz w:val="20"/>
          <w:szCs w:val="20"/>
        </w:rPr>
        <w:t>.</w:t>
      </w:r>
    </w:p>
    <w:p w14:paraId="30EAB1BC" w14:textId="77777777" w:rsidR="00BB017F" w:rsidRDefault="00BB017F" w:rsidP="00803DB2">
      <w:pPr>
        <w:jc w:val="both"/>
        <w:rPr>
          <w:rFonts w:ascii="Verdana" w:hAnsi="Verdana"/>
          <w:sz w:val="20"/>
          <w:szCs w:val="20"/>
        </w:rPr>
      </w:pPr>
    </w:p>
    <w:p w14:paraId="4DE915E4" w14:textId="320708B2" w:rsidR="009903DD" w:rsidRDefault="003061F1">
      <w:pPr>
        <w:numPr>
          <w:ilvl w:val="0"/>
          <w:numId w:val="15"/>
        </w:numPr>
        <w:ind w:left="284" w:hanging="284"/>
        <w:jc w:val="both"/>
        <w:rPr>
          <w:rFonts w:ascii="Verdana" w:hAnsi="Verdana"/>
          <w:sz w:val="20"/>
          <w:szCs w:val="20"/>
        </w:rPr>
      </w:pPr>
      <w:r w:rsidRPr="00E21903">
        <w:rPr>
          <w:rFonts w:ascii="Verdana" w:hAnsi="Verdana"/>
          <w:sz w:val="20"/>
          <w:szCs w:val="20"/>
        </w:rPr>
        <w:t>Volgens de ESR-</w:t>
      </w:r>
      <w:proofErr w:type="spellStart"/>
      <w:r w:rsidRPr="00E21903">
        <w:rPr>
          <w:rFonts w:ascii="Verdana" w:hAnsi="Verdana"/>
          <w:sz w:val="20"/>
          <w:szCs w:val="20"/>
        </w:rPr>
        <w:t>aanrekeningsmethode</w:t>
      </w:r>
      <w:proofErr w:type="spellEnd"/>
      <w:r w:rsidRPr="00E21903">
        <w:rPr>
          <w:rFonts w:ascii="Verdana" w:hAnsi="Verdana"/>
          <w:sz w:val="20"/>
          <w:szCs w:val="20"/>
        </w:rPr>
        <w:t xml:space="preserve"> </w:t>
      </w:r>
      <w:r w:rsidR="009903DD" w:rsidRPr="00E21903">
        <w:rPr>
          <w:rFonts w:ascii="Verdana" w:hAnsi="Verdana"/>
          <w:sz w:val="20"/>
          <w:szCs w:val="20"/>
        </w:rPr>
        <w:t>word</w:t>
      </w:r>
      <w:r w:rsidR="001579F0" w:rsidRPr="00E21903">
        <w:rPr>
          <w:rFonts w:ascii="Verdana" w:hAnsi="Verdana"/>
          <w:sz w:val="20"/>
          <w:szCs w:val="20"/>
        </w:rPr>
        <w:t>en</w:t>
      </w:r>
      <w:r w:rsidR="009903DD" w:rsidRPr="00E21903">
        <w:rPr>
          <w:rFonts w:ascii="Verdana" w:hAnsi="Verdana"/>
          <w:sz w:val="20"/>
          <w:szCs w:val="20"/>
        </w:rPr>
        <w:t xml:space="preserve"> de ontvangsten voor erfbelasting </w:t>
      </w:r>
      <w:r w:rsidRPr="00E21903">
        <w:rPr>
          <w:rFonts w:ascii="Verdana" w:hAnsi="Verdana"/>
          <w:sz w:val="20"/>
          <w:szCs w:val="20"/>
        </w:rPr>
        <w:t xml:space="preserve">voor 2021 </w:t>
      </w:r>
      <w:r w:rsidR="009903DD" w:rsidRPr="00E21903">
        <w:rPr>
          <w:rFonts w:ascii="Verdana" w:hAnsi="Verdana"/>
          <w:sz w:val="20"/>
          <w:szCs w:val="20"/>
        </w:rPr>
        <w:t xml:space="preserve">geraamd op </w:t>
      </w:r>
      <w:r w:rsidRPr="003061F1">
        <w:rPr>
          <w:rFonts w:ascii="Verdana" w:hAnsi="Verdana"/>
          <w:sz w:val="20"/>
          <w:szCs w:val="20"/>
        </w:rPr>
        <w:t xml:space="preserve">1.588.027.032,91 </w:t>
      </w:r>
      <w:r w:rsidRPr="00E21903">
        <w:rPr>
          <w:rFonts w:ascii="Verdana" w:hAnsi="Verdana"/>
          <w:sz w:val="20"/>
          <w:szCs w:val="20"/>
        </w:rPr>
        <w:t xml:space="preserve">euro (inclusief intresten en kosten, exclusief fiscale regularisatie). </w:t>
      </w:r>
      <w:r w:rsidR="009903DD" w:rsidRPr="00E21903">
        <w:rPr>
          <w:rFonts w:ascii="Verdana" w:hAnsi="Verdana"/>
          <w:sz w:val="20"/>
          <w:szCs w:val="20"/>
        </w:rPr>
        <w:t xml:space="preserve">Deze </w:t>
      </w:r>
      <w:r w:rsidR="009903DD" w:rsidRPr="009903DD">
        <w:rPr>
          <w:rFonts w:ascii="Verdana" w:hAnsi="Verdana"/>
          <w:sz w:val="20"/>
          <w:szCs w:val="20"/>
        </w:rPr>
        <w:t xml:space="preserve">ESR-ontvangsten zijn een prognose, </w:t>
      </w:r>
      <w:r w:rsidR="009903DD">
        <w:rPr>
          <w:rFonts w:ascii="Verdana" w:hAnsi="Verdana"/>
          <w:sz w:val="20"/>
          <w:szCs w:val="20"/>
        </w:rPr>
        <w:t>aangezien</w:t>
      </w:r>
      <w:r w:rsidR="009903DD" w:rsidRPr="009903DD">
        <w:rPr>
          <w:rFonts w:ascii="Verdana" w:hAnsi="Verdana"/>
          <w:sz w:val="20"/>
          <w:szCs w:val="20"/>
        </w:rPr>
        <w:t xml:space="preserve"> de ontvangsten tot en met februari 2022 worden aangerekend op begrotingsjaar 2021.</w:t>
      </w:r>
      <w:r w:rsidR="00BD3A3F" w:rsidRPr="00E21903">
        <w:rPr>
          <w:rFonts w:ascii="Verdana" w:hAnsi="Verdana"/>
          <w:sz w:val="20"/>
          <w:szCs w:val="20"/>
        </w:rPr>
        <w:t xml:space="preserve"> </w:t>
      </w:r>
    </w:p>
    <w:p w14:paraId="05641A03" w14:textId="6C468681" w:rsidR="00803DB2" w:rsidRDefault="00803DB2" w:rsidP="00803DB2">
      <w:pPr>
        <w:jc w:val="both"/>
        <w:rPr>
          <w:rFonts w:ascii="Verdana" w:hAnsi="Verdana"/>
          <w:sz w:val="20"/>
          <w:szCs w:val="20"/>
        </w:rPr>
      </w:pPr>
    </w:p>
    <w:p w14:paraId="5D45C974" w14:textId="560F555C" w:rsidR="00D71482" w:rsidRPr="00E21903" w:rsidRDefault="00830A90" w:rsidP="00E21903">
      <w:pPr>
        <w:numPr>
          <w:ilvl w:val="0"/>
          <w:numId w:val="15"/>
        </w:numPr>
        <w:ind w:left="284" w:hanging="284"/>
        <w:jc w:val="both"/>
        <w:rPr>
          <w:rFonts w:ascii="Verdana" w:hAnsi="Verdana"/>
          <w:sz w:val="20"/>
          <w:szCs w:val="20"/>
        </w:rPr>
      </w:pPr>
      <w:r>
        <w:rPr>
          <w:rFonts w:ascii="Verdana" w:hAnsi="Verdana"/>
          <w:sz w:val="20"/>
          <w:szCs w:val="20"/>
        </w:rPr>
        <w:t>De meerwaardebelasting is een federale belasting.</w:t>
      </w:r>
      <w:r w:rsidR="00D71482">
        <w:rPr>
          <w:rFonts w:ascii="Verdana" w:hAnsi="Verdana"/>
          <w:sz w:val="20"/>
          <w:szCs w:val="20"/>
        </w:rPr>
        <w:t xml:space="preserve"> </w:t>
      </w:r>
      <w:r w:rsidR="00D71482" w:rsidRPr="00E21903">
        <w:rPr>
          <w:rFonts w:ascii="Verdana" w:hAnsi="Verdana"/>
          <w:sz w:val="20"/>
          <w:szCs w:val="20"/>
        </w:rPr>
        <w:t xml:space="preserve">Het gaat immers om diverse inkomsten die afzonderlijk belast zijn in de personenbelasting. </w:t>
      </w:r>
    </w:p>
    <w:p w14:paraId="515702FE" w14:textId="121AB08E" w:rsidR="00803DB2" w:rsidRDefault="00803DB2" w:rsidP="00E21903">
      <w:pPr>
        <w:ind w:left="284"/>
        <w:jc w:val="both"/>
        <w:rPr>
          <w:rFonts w:ascii="Verdana" w:hAnsi="Verdana"/>
          <w:sz w:val="20"/>
          <w:szCs w:val="20"/>
        </w:rPr>
      </w:pPr>
    </w:p>
    <w:p w14:paraId="7A9F1A57" w14:textId="634A44F2" w:rsidR="000A6E2C" w:rsidRPr="000A6E2C" w:rsidRDefault="000A6E2C" w:rsidP="00E21903">
      <w:pPr>
        <w:numPr>
          <w:ilvl w:val="0"/>
          <w:numId w:val="15"/>
        </w:numPr>
        <w:ind w:left="284" w:hanging="284"/>
        <w:jc w:val="both"/>
        <w:rPr>
          <w:rFonts w:ascii="Verdana" w:hAnsi="Verdana"/>
          <w:sz w:val="20"/>
          <w:szCs w:val="20"/>
        </w:rPr>
      </w:pPr>
      <w:r w:rsidRPr="000A6E2C">
        <w:rPr>
          <w:rFonts w:ascii="Verdana" w:hAnsi="Verdana"/>
          <w:sz w:val="20"/>
          <w:szCs w:val="20"/>
        </w:rPr>
        <w:t>Corona heeft bij veel gezinnen nieuwe woonbehoeften doen ontstaan</w:t>
      </w:r>
      <w:r>
        <w:rPr>
          <w:rFonts w:ascii="Verdana" w:hAnsi="Verdana"/>
          <w:sz w:val="20"/>
          <w:szCs w:val="20"/>
        </w:rPr>
        <w:t>.</w:t>
      </w:r>
      <w:r w:rsidR="00861F9E">
        <w:rPr>
          <w:rFonts w:ascii="Verdana" w:hAnsi="Verdana"/>
          <w:sz w:val="20"/>
          <w:szCs w:val="20"/>
        </w:rPr>
        <w:t xml:space="preserve"> </w:t>
      </w:r>
      <w:r>
        <w:rPr>
          <w:rFonts w:ascii="Verdana" w:hAnsi="Verdana"/>
          <w:sz w:val="20"/>
          <w:szCs w:val="20"/>
        </w:rPr>
        <w:t>Het afgelopen jaar gingen meer mensen op zoek naar een</w:t>
      </w:r>
      <w:r w:rsidR="00E00E43">
        <w:rPr>
          <w:rFonts w:ascii="Verdana" w:hAnsi="Verdana"/>
          <w:sz w:val="20"/>
          <w:szCs w:val="20"/>
        </w:rPr>
        <w:t xml:space="preserve"> woning met een terras </w:t>
      </w:r>
      <w:r w:rsidR="00E30F71">
        <w:rPr>
          <w:rFonts w:ascii="Verdana" w:hAnsi="Verdana"/>
          <w:sz w:val="20"/>
          <w:szCs w:val="20"/>
        </w:rPr>
        <w:t xml:space="preserve">of </w:t>
      </w:r>
      <w:r w:rsidR="00E00E43">
        <w:rPr>
          <w:rFonts w:ascii="Verdana" w:hAnsi="Verdana"/>
          <w:sz w:val="20"/>
          <w:szCs w:val="20"/>
        </w:rPr>
        <w:t>tuin. Ook de vraag naar grotere woningen steeg.</w:t>
      </w:r>
      <w:r w:rsidR="00BF37B3">
        <w:rPr>
          <w:rFonts w:ascii="Verdana" w:hAnsi="Verdana"/>
          <w:sz w:val="20"/>
          <w:szCs w:val="20"/>
        </w:rPr>
        <w:t xml:space="preserve"> </w:t>
      </w:r>
      <w:r w:rsidRPr="00E21903">
        <w:rPr>
          <w:rFonts w:ascii="Verdana" w:hAnsi="Verdana"/>
          <w:sz w:val="20"/>
          <w:szCs w:val="20"/>
        </w:rPr>
        <w:t>De daling van de rente heeft de ontleningscapaciteit doen toenemen met stijgende prijzen, en bijgevolg ook stijgende registratie</w:t>
      </w:r>
      <w:r w:rsidR="00BF37B3" w:rsidRPr="00E21903">
        <w:rPr>
          <w:rFonts w:ascii="Verdana" w:hAnsi="Verdana"/>
          <w:sz w:val="20"/>
          <w:szCs w:val="20"/>
        </w:rPr>
        <w:t>belasting</w:t>
      </w:r>
      <w:r w:rsidRPr="00E21903">
        <w:rPr>
          <w:rFonts w:ascii="Verdana" w:hAnsi="Verdana"/>
          <w:sz w:val="20"/>
          <w:szCs w:val="20"/>
        </w:rPr>
        <w:t>, als gevolg.</w:t>
      </w:r>
    </w:p>
    <w:p w14:paraId="6E6EB804" w14:textId="1193DB6D" w:rsidR="00803DB2" w:rsidRPr="00E21903" w:rsidRDefault="000A6E2C" w:rsidP="00E21903">
      <w:pPr>
        <w:ind w:left="284"/>
        <w:jc w:val="both"/>
        <w:rPr>
          <w:rFonts w:ascii="Verdana" w:hAnsi="Verdana"/>
          <w:sz w:val="20"/>
          <w:szCs w:val="20"/>
        </w:rPr>
      </w:pPr>
      <w:r w:rsidRPr="00E21903">
        <w:rPr>
          <w:rFonts w:ascii="Verdana" w:hAnsi="Verdana"/>
          <w:sz w:val="20"/>
          <w:szCs w:val="20"/>
        </w:rPr>
        <w:t xml:space="preserve">Door de lage rente werd vastgoed ook aantrekkelijker als investering. </w:t>
      </w:r>
      <w:r w:rsidR="00E30F71">
        <w:rPr>
          <w:rFonts w:ascii="Verdana" w:hAnsi="Verdana"/>
          <w:sz w:val="20"/>
          <w:szCs w:val="20"/>
        </w:rPr>
        <w:t>Ook d</w:t>
      </w:r>
      <w:r w:rsidRPr="00E21903">
        <w:rPr>
          <w:rFonts w:ascii="Verdana" w:hAnsi="Verdana"/>
          <w:sz w:val="20"/>
          <w:szCs w:val="20"/>
        </w:rPr>
        <w:t>at heeft het aantal transacties doen stijgen.</w:t>
      </w:r>
      <w:r w:rsidR="007118F8" w:rsidRPr="00E21903">
        <w:rPr>
          <w:rFonts w:ascii="Verdana" w:hAnsi="Verdana"/>
          <w:sz w:val="20"/>
          <w:szCs w:val="20"/>
        </w:rPr>
        <w:t xml:space="preserve"> </w:t>
      </w:r>
    </w:p>
    <w:p w14:paraId="65E355F1" w14:textId="5D64E07B" w:rsidR="00357BB2" w:rsidRDefault="00357BB2" w:rsidP="00E21903">
      <w:pPr>
        <w:ind w:left="284"/>
        <w:jc w:val="both"/>
        <w:rPr>
          <w:rFonts w:ascii="Verdana" w:hAnsi="Verdana"/>
          <w:sz w:val="20"/>
          <w:szCs w:val="20"/>
        </w:rPr>
      </w:pPr>
    </w:p>
    <w:p w14:paraId="4B1B8B2C" w14:textId="5C529758" w:rsidR="00357BB2" w:rsidRDefault="002344A9" w:rsidP="00E21903">
      <w:pPr>
        <w:numPr>
          <w:ilvl w:val="0"/>
          <w:numId w:val="15"/>
        </w:numPr>
        <w:ind w:left="284" w:hanging="284"/>
        <w:jc w:val="both"/>
        <w:rPr>
          <w:rFonts w:ascii="Verdana" w:hAnsi="Verdana"/>
          <w:sz w:val="20"/>
          <w:szCs w:val="20"/>
        </w:rPr>
      </w:pPr>
      <w:r>
        <w:rPr>
          <w:rFonts w:ascii="Verdana" w:hAnsi="Verdana"/>
          <w:sz w:val="20"/>
          <w:szCs w:val="20"/>
        </w:rPr>
        <w:t>De t</w:t>
      </w:r>
      <w:r w:rsidR="00357BB2">
        <w:rPr>
          <w:rFonts w:ascii="Verdana" w:hAnsi="Verdana"/>
          <w:sz w:val="20"/>
          <w:szCs w:val="20"/>
        </w:rPr>
        <w:t xml:space="preserve">abel </w:t>
      </w:r>
      <w:r>
        <w:rPr>
          <w:rFonts w:ascii="Verdana" w:hAnsi="Verdana"/>
          <w:sz w:val="20"/>
          <w:szCs w:val="20"/>
        </w:rPr>
        <w:t xml:space="preserve">hieronder </w:t>
      </w:r>
      <w:r w:rsidR="00357BB2">
        <w:rPr>
          <w:rFonts w:ascii="Verdana" w:hAnsi="Verdana"/>
          <w:sz w:val="20"/>
          <w:szCs w:val="20"/>
        </w:rPr>
        <w:t xml:space="preserve">biedt voor de aanslagjaren 2019 tot en met 2026 een overzicht van de fiscale uitgaven </w:t>
      </w:r>
      <w:r>
        <w:rPr>
          <w:rFonts w:ascii="Verdana" w:hAnsi="Verdana"/>
          <w:sz w:val="20"/>
          <w:szCs w:val="20"/>
        </w:rPr>
        <w:t>voor het ‘verwerven en behouden van de eigen woning’.</w:t>
      </w:r>
      <w:r w:rsidR="00357BB2">
        <w:rPr>
          <w:rFonts w:ascii="Verdana" w:hAnsi="Verdana"/>
          <w:sz w:val="20"/>
          <w:szCs w:val="20"/>
        </w:rPr>
        <w:t xml:space="preserve"> De cijfers van de aanslagjaren 2019 en 2020 betreffen realisatiecijfers. De cijfers van de overige aanslagjaren betreffen ramingen die door de FOD Financiën eind september 2021 in het kader van de begrotingsopmaak 2022 werden </w:t>
      </w:r>
      <w:proofErr w:type="spellStart"/>
      <w:r w:rsidR="00357BB2">
        <w:rPr>
          <w:rFonts w:ascii="Verdana" w:hAnsi="Verdana"/>
          <w:sz w:val="20"/>
          <w:szCs w:val="20"/>
        </w:rPr>
        <w:t>opgsteld</w:t>
      </w:r>
      <w:proofErr w:type="spellEnd"/>
      <w:r w:rsidR="00357BB2">
        <w:rPr>
          <w:rFonts w:ascii="Verdana" w:hAnsi="Verdana"/>
          <w:sz w:val="20"/>
          <w:szCs w:val="20"/>
        </w:rPr>
        <w:t>.</w:t>
      </w:r>
      <w:r>
        <w:rPr>
          <w:rFonts w:ascii="Verdana" w:hAnsi="Verdana"/>
          <w:sz w:val="20"/>
          <w:szCs w:val="20"/>
        </w:rPr>
        <w:t xml:space="preserve"> </w:t>
      </w:r>
      <w:r w:rsidR="00357BB2">
        <w:rPr>
          <w:rFonts w:ascii="Verdana" w:hAnsi="Verdana"/>
          <w:sz w:val="20"/>
          <w:szCs w:val="20"/>
        </w:rPr>
        <w:t>De</w:t>
      </w:r>
      <w:r>
        <w:rPr>
          <w:rFonts w:ascii="Verdana" w:hAnsi="Verdana"/>
          <w:sz w:val="20"/>
          <w:szCs w:val="20"/>
        </w:rPr>
        <w:t>ze</w:t>
      </w:r>
      <w:r w:rsidR="00357BB2">
        <w:rPr>
          <w:rFonts w:ascii="Verdana" w:hAnsi="Verdana"/>
          <w:sz w:val="20"/>
          <w:szCs w:val="20"/>
        </w:rPr>
        <w:t xml:space="preserve"> ramingen werden</w:t>
      </w:r>
      <w:r w:rsidR="001060CE">
        <w:rPr>
          <w:rFonts w:ascii="Verdana" w:hAnsi="Verdana"/>
          <w:sz w:val="20"/>
          <w:szCs w:val="20"/>
        </w:rPr>
        <w:t xml:space="preserve"> </w:t>
      </w:r>
      <w:r w:rsidR="00357BB2">
        <w:rPr>
          <w:rFonts w:ascii="Verdana" w:hAnsi="Verdana"/>
          <w:sz w:val="20"/>
          <w:szCs w:val="20"/>
        </w:rPr>
        <w:t>– na toep</w:t>
      </w:r>
      <w:r w:rsidR="00F90BDF">
        <w:rPr>
          <w:rFonts w:ascii="Verdana" w:hAnsi="Verdana"/>
          <w:sz w:val="20"/>
          <w:szCs w:val="20"/>
        </w:rPr>
        <w:t>a</w:t>
      </w:r>
      <w:r w:rsidR="00357BB2">
        <w:rPr>
          <w:rFonts w:ascii="Verdana" w:hAnsi="Verdana"/>
          <w:sz w:val="20"/>
          <w:szCs w:val="20"/>
        </w:rPr>
        <w:t xml:space="preserve">ssing van het </w:t>
      </w:r>
      <w:proofErr w:type="spellStart"/>
      <w:r w:rsidR="00357BB2">
        <w:rPr>
          <w:rFonts w:ascii="Verdana" w:hAnsi="Verdana"/>
          <w:sz w:val="20"/>
          <w:szCs w:val="20"/>
        </w:rPr>
        <w:t>aanslagjaarspecifieke</w:t>
      </w:r>
      <w:proofErr w:type="spellEnd"/>
      <w:r w:rsidR="00357BB2">
        <w:rPr>
          <w:rFonts w:ascii="Verdana" w:hAnsi="Verdana"/>
          <w:sz w:val="20"/>
          <w:szCs w:val="20"/>
        </w:rPr>
        <w:t xml:space="preserve"> voorschottenpercentage - verwerkt in de meerjarige uitgavenbegroting van de Vlaamse Gemeenschap (Meerjarenraming 2021-2026, oktober 2021).</w:t>
      </w:r>
    </w:p>
    <w:p w14:paraId="3CD1299B" w14:textId="74529C71" w:rsidR="00357BB2" w:rsidRDefault="00357BB2" w:rsidP="00E21903">
      <w:pPr>
        <w:jc w:val="both"/>
        <w:rPr>
          <w:rFonts w:ascii="Verdana" w:hAnsi="Verdana"/>
          <w:sz w:val="20"/>
          <w:szCs w:val="20"/>
        </w:rPr>
      </w:pPr>
    </w:p>
    <w:p w14:paraId="25CC4806" w14:textId="20488527" w:rsidR="00357BB2" w:rsidRDefault="00357BB2" w:rsidP="00E21903">
      <w:pPr>
        <w:ind w:left="284"/>
        <w:jc w:val="both"/>
        <w:rPr>
          <w:rFonts w:ascii="Verdana" w:hAnsi="Verdana"/>
          <w:sz w:val="20"/>
          <w:szCs w:val="20"/>
        </w:rPr>
      </w:pPr>
      <w:r>
        <w:rPr>
          <w:rFonts w:ascii="Verdana" w:hAnsi="Verdana"/>
          <w:sz w:val="20"/>
          <w:szCs w:val="20"/>
        </w:rPr>
        <w:t>Binnen deze categorie van fiscale uitgaven kent de Woonbonus 2005-2014 een dalend verloop omdat steeds meer belastingplichtigen het einde bereiken van de periode waarvoor de fiscale uitgave werd toegekend. Dat geldt (voorlopig) niet voor de Woonbonus 2015. De raming ervan blijft constant op 73,1 miljoen euro. Tot slot werd de Geïntegreerde Woonbonus eind 2019 door de Vlaamse Regering stopgezet waardoor er geen instroom van belastingplichtigen meer mogelijk is en de budgettaire impact (eveneens voorlopig)</w:t>
      </w:r>
      <w:r w:rsidRPr="005C661C">
        <w:rPr>
          <w:rFonts w:ascii="Verdana" w:hAnsi="Verdana"/>
          <w:sz w:val="20"/>
          <w:szCs w:val="20"/>
        </w:rPr>
        <w:t xml:space="preserve"> </w:t>
      </w:r>
      <w:r>
        <w:rPr>
          <w:rFonts w:ascii="Verdana" w:hAnsi="Verdana"/>
          <w:sz w:val="20"/>
          <w:szCs w:val="20"/>
        </w:rPr>
        <w:t>constant blijft op 339,5 miljoen euro.</w:t>
      </w:r>
    </w:p>
    <w:p w14:paraId="2B13F34C" w14:textId="77777777" w:rsidR="00357BB2" w:rsidRDefault="00357BB2" w:rsidP="00357BB2">
      <w:pPr>
        <w:jc w:val="both"/>
        <w:rPr>
          <w:rFonts w:ascii="Verdana" w:hAnsi="Verdana"/>
          <w:sz w:val="20"/>
          <w:szCs w:val="20"/>
        </w:rPr>
      </w:pPr>
    </w:p>
    <w:p w14:paraId="376984AD" w14:textId="1928E470" w:rsidR="00357BB2" w:rsidRPr="00E21903" w:rsidRDefault="00357BB2" w:rsidP="00357BB2">
      <w:pPr>
        <w:spacing w:after="120"/>
        <w:jc w:val="both"/>
        <w:rPr>
          <w:rFonts w:ascii="Verdana" w:hAnsi="Verdana"/>
          <w:i/>
          <w:iCs/>
          <w:sz w:val="20"/>
          <w:szCs w:val="20"/>
        </w:rPr>
      </w:pPr>
      <w:r w:rsidRPr="00E21903">
        <w:rPr>
          <w:rFonts w:ascii="Verdana" w:hAnsi="Verdana"/>
          <w:i/>
          <w:iCs/>
          <w:sz w:val="20"/>
          <w:szCs w:val="20"/>
        </w:rPr>
        <w:t>Fiscale uitgave ‘verwerven en behouden eigen woning’ 2019-2026 (in miljoen euro)</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896"/>
        <w:gridCol w:w="896"/>
        <w:gridCol w:w="896"/>
        <w:gridCol w:w="896"/>
        <w:gridCol w:w="896"/>
        <w:gridCol w:w="896"/>
        <w:gridCol w:w="896"/>
        <w:gridCol w:w="896"/>
      </w:tblGrid>
      <w:tr w:rsidR="00357BB2" w:rsidRPr="00D8253C" w14:paraId="25F32F35" w14:textId="77777777" w:rsidTr="00204BD5">
        <w:trPr>
          <w:trHeight w:val="288"/>
          <w:tblHeader/>
        </w:trPr>
        <w:tc>
          <w:tcPr>
            <w:tcW w:w="2263" w:type="dxa"/>
            <w:shd w:val="clear" w:color="auto" w:fill="auto"/>
            <w:noWrap/>
            <w:vAlign w:val="center"/>
            <w:hideMark/>
          </w:tcPr>
          <w:p w14:paraId="6613A10F" w14:textId="77777777" w:rsidR="00357BB2" w:rsidRPr="00D8253C" w:rsidRDefault="00357BB2" w:rsidP="00204BD5">
            <w:pPr>
              <w:rPr>
                <w:rFonts w:ascii="Verdana" w:hAnsi="Verdana" w:cs="Calibri"/>
                <w:b/>
                <w:bCs/>
                <w:sz w:val="16"/>
                <w:szCs w:val="16"/>
                <w:lang w:val="nl-BE" w:eastAsia="nl-BE"/>
              </w:rPr>
            </w:pPr>
            <w:r w:rsidRPr="00D8253C">
              <w:rPr>
                <w:rFonts w:ascii="Verdana" w:hAnsi="Verdana" w:cs="Calibri"/>
                <w:b/>
                <w:bCs/>
                <w:sz w:val="16"/>
                <w:szCs w:val="16"/>
                <w:lang w:val="nl-BE" w:eastAsia="nl-BE"/>
              </w:rPr>
              <w:t>Inkomstenjaar</w:t>
            </w:r>
          </w:p>
        </w:tc>
        <w:tc>
          <w:tcPr>
            <w:tcW w:w="896" w:type="dxa"/>
            <w:shd w:val="clear" w:color="auto" w:fill="auto"/>
            <w:noWrap/>
            <w:vAlign w:val="center"/>
            <w:hideMark/>
          </w:tcPr>
          <w:p w14:paraId="1A16AFD7"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2018</w:t>
            </w:r>
          </w:p>
        </w:tc>
        <w:tc>
          <w:tcPr>
            <w:tcW w:w="896" w:type="dxa"/>
            <w:shd w:val="clear" w:color="auto" w:fill="auto"/>
            <w:noWrap/>
            <w:vAlign w:val="center"/>
            <w:hideMark/>
          </w:tcPr>
          <w:p w14:paraId="73649A74"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2019</w:t>
            </w:r>
          </w:p>
        </w:tc>
        <w:tc>
          <w:tcPr>
            <w:tcW w:w="896" w:type="dxa"/>
            <w:shd w:val="clear" w:color="auto" w:fill="auto"/>
            <w:noWrap/>
            <w:vAlign w:val="center"/>
            <w:hideMark/>
          </w:tcPr>
          <w:p w14:paraId="75863BB0"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2020</w:t>
            </w:r>
          </w:p>
        </w:tc>
        <w:tc>
          <w:tcPr>
            <w:tcW w:w="896" w:type="dxa"/>
            <w:shd w:val="clear" w:color="auto" w:fill="auto"/>
            <w:noWrap/>
            <w:vAlign w:val="center"/>
            <w:hideMark/>
          </w:tcPr>
          <w:p w14:paraId="39ACD057"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2021</w:t>
            </w:r>
          </w:p>
        </w:tc>
        <w:tc>
          <w:tcPr>
            <w:tcW w:w="896" w:type="dxa"/>
            <w:shd w:val="clear" w:color="auto" w:fill="auto"/>
            <w:noWrap/>
            <w:vAlign w:val="center"/>
            <w:hideMark/>
          </w:tcPr>
          <w:p w14:paraId="35C167C2"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2022</w:t>
            </w:r>
          </w:p>
        </w:tc>
        <w:tc>
          <w:tcPr>
            <w:tcW w:w="896" w:type="dxa"/>
            <w:shd w:val="clear" w:color="auto" w:fill="auto"/>
            <w:noWrap/>
            <w:vAlign w:val="center"/>
            <w:hideMark/>
          </w:tcPr>
          <w:p w14:paraId="57B64242"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2023</w:t>
            </w:r>
          </w:p>
        </w:tc>
        <w:tc>
          <w:tcPr>
            <w:tcW w:w="896" w:type="dxa"/>
            <w:shd w:val="clear" w:color="auto" w:fill="auto"/>
            <w:noWrap/>
            <w:vAlign w:val="center"/>
            <w:hideMark/>
          </w:tcPr>
          <w:p w14:paraId="0618D471"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2024</w:t>
            </w:r>
          </w:p>
        </w:tc>
        <w:tc>
          <w:tcPr>
            <w:tcW w:w="896" w:type="dxa"/>
            <w:shd w:val="clear" w:color="auto" w:fill="auto"/>
            <w:noWrap/>
            <w:vAlign w:val="center"/>
            <w:hideMark/>
          </w:tcPr>
          <w:p w14:paraId="019AAD33"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2025</w:t>
            </w:r>
          </w:p>
        </w:tc>
      </w:tr>
      <w:tr w:rsidR="00357BB2" w:rsidRPr="00D8253C" w14:paraId="2F0E0C9B" w14:textId="77777777" w:rsidTr="00204BD5">
        <w:trPr>
          <w:trHeight w:val="288"/>
          <w:tblHeader/>
        </w:trPr>
        <w:tc>
          <w:tcPr>
            <w:tcW w:w="2263" w:type="dxa"/>
            <w:shd w:val="clear" w:color="auto" w:fill="auto"/>
            <w:noWrap/>
            <w:vAlign w:val="center"/>
            <w:hideMark/>
          </w:tcPr>
          <w:p w14:paraId="7D66C823" w14:textId="77777777" w:rsidR="00357BB2" w:rsidRPr="00D8253C" w:rsidRDefault="00357BB2" w:rsidP="00204BD5">
            <w:pPr>
              <w:rPr>
                <w:rFonts w:ascii="Verdana" w:hAnsi="Verdana" w:cs="Calibri"/>
                <w:b/>
                <w:bCs/>
                <w:sz w:val="16"/>
                <w:szCs w:val="16"/>
                <w:lang w:val="nl-BE" w:eastAsia="nl-BE"/>
              </w:rPr>
            </w:pPr>
            <w:r w:rsidRPr="00D8253C">
              <w:rPr>
                <w:rFonts w:ascii="Verdana" w:hAnsi="Verdana" w:cs="Calibri"/>
                <w:b/>
                <w:bCs/>
                <w:sz w:val="16"/>
                <w:szCs w:val="16"/>
                <w:lang w:val="nl-BE" w:eastAsia="nl-BE"/>
              </w:rPr>
              <w:t>Aanslagjaar</w:t>
            </w:r>
          </w:p>
        </w:tc>
        <w:tc>
          <w:tcPr>
            <w:tcW w:w="896" w:type="dxa"/>
            <w:shd w:val="clear" w:color="auto" w:fill="auto"/>
            <w:noWrap/>
            <w:vAlign w:val="center"/>
            <w:hideMark/>
          </w:tcPr>
          <w:p w14:paraId="6B18E1C8"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2019</w:t>
            </w:r>
          </w:p>
        </w:tc>
        <w:tc>
          <w:tcPr>
            <w:tcW w:w="896" w:type="dxa"/>
            <w:shd w:val="clear" w:color="auto" w:fill="auto"/>
            <w:noWrap/>
            <w:vAlign w:val="center"/>
            <w:hideMark/>
          </w:tcPr>
          <w:p w14:paraId="349AB004"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2020</w:t>
            </w:r>
          </w:p>
        </w:tc>
        <w:tc>
          <w:tcPr>
            <w:tcW w:w="896" w:type="dxa"/>
            <w:shd w:val="clear" w:color="auto" w:fill="auto"/>
            <w:noWrap/>
            <w:vAlign w:val="center"/>
            <w:hideMark/>
          </w:tcPr>
          <w:p w14:paraId="2D5F54C2"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2021</w:t>
            </w:r>
          </w:p>
        </w:tc>
        <w:tc>
          <w:tcPr>
            <w:tcW w:w="896" w:type="dxa"/>
            <w:shd w:val="clear" w:color="auto" w:fill="auto"/>
            <w:noWrap/>
            <w:vAlign w:val="center"/>
            <w:hideMark/>
          </w:tcPr>
          <w:p w14:paraId="3D435F02"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2022</w:t>
            </w:r>
          </w:p>
        </w:tc>
        <w:tc>
          <w:tcPr>
            <w:tcW w:w="896" w:type="dxa"/>
            <w:shd w:val="clear" w:color="auto" w:fill="auto"/>
            <w:noWrap/>
            <w:vAlign w:val="center"/>
            <w:hideMark/>
          </w:tcPr>
          <w:p w14:paraId="5CA0A2F8"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2023</w:t>
            </w:r>
          </w:p>
        </w:tc>
        <w:tc>
          <w:tcPr>
            <w:tcW w:w="896" w:type="dxa"/>
            <w:shd w:val="clear" w:color="auto" w:fill="auto"/>
            <w:noWrap/>
            <w:vAlign w:val="center"/>
            <w:hideMark/>
          </w:tcPr>
          <w:p w14:paraId="1998FCBB"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2024</w:t>
            </w:r>
          </w:p>
        </w:tc>
        <w:tc>
          <w:tcPr>
            <w:tcW w:w="896" w:type="dxa"/>
            <w:shd w:val="clear" w:color="auto" w:fill="auto"/>
            <w:noWrap/>
            <w:vAlign w:val="center"/>
            <w:hideMark/>
          </w:tcPr>
          <w:p w14:paraId="1D245658"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2025</w:t>
            </w:r>
          </w:p>
        </w:tc>
        <w:tc>
          <w:tcPr>
            <w:tcW w:w="896" w:type="dxa"/>
            <w:shd w:val="clear" w:color="auto" w:fill="auto"/>
            <w:noWrap/>
            <w:vAlign w:val="center"/>
            <w:hideMark/>
          </w:tcPr>
          <w:p w14:paraId="16114197"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2026</w:t>
            </w:r>
          </w:p>
        </w:tc>
      </w:tr>
      <w:tr w:rsidR="00357BB2" w:rsidRPr="00D8253C" w14:paraId="2FE983F0" w14:textId="77777777" w:rsidTr="00204BD5">
        <w:trPr>
          <w:trHeight w:val="288"/>
        </w:trPr>
        <w:tc>
          <w:tcPr>
            <w:tcW w:w="2263" w:type="dxa"/>
            <w:shd w:val="clear" w:color="auto" w:fill="auto"/>
            <w:noWrap/>
            <w:vAlign w:val="center"/>
            <w:hideMark/>
          </w:tcPr>
          <w:p w14:paraId="49066C7A"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1.Bouwsparen</w:t>
            </w:r>
          </w:p>
        </w:tc>
        <w:tc>
          <w:tcPr>
            <w:tcW w:w="896" w:type="dxa"/>
            <w:shd w:val="clear" w:color="auto" w:fill="auto"/>
            <w:noWrap/>
            <w:vAlign w:val="center"/>
            <w:hideMark/>
          </w:tcPr>
          <w:p w14:paraId="167C59D1"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187,7</w:t>
            </w:r>
          </w:p>
        </w:tc>
        <w:tc>
          <w:tcPr>
            <w:tcW w:w="896" w:type="dxa"/>
            <w:shd w:val="clear" w:color="auto" w:fill="auto"/>
            <w:noWrap/>
            <w:vAlign w:val="center"/>
            <w:hideMark/>
          </w:tcPr>
          <w:p w14:paraId="3B8E6411"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155,8</w:t>
            </w:r>
          </w:p>
        </w:tc>
        <w:tc>
          <w:tcPr>
            <w:tcW w:w="896" w:type="dxa"/>
            <w:shd w:val="clear" w:color="auto" w:fill="auto"/>
            <w:noWrap/>
            <w:vAlign w:val="center"/>
            <w:hideMark/>
          </w:tcPr>
          <w:p w14:paraId="60A1C268"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125,6</w:t>
            </w:r>
          </w:p>
        </w:tc>
        <w:tc>
          <w:tcPr>
            <w:tcW w:w="896" w:type="dxa"/>
            <w:shd w:val="clear" w:color="auto" w:fill="auto"/>
            <w:noWrap/>
            <w:vAlign w:val="center"/>
            <w:hideMark/>
          </w:tcPr>
          <w:p w14:paraId="38ABEEA4"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95,5</w:t>
            </w:r>
          </w:p>
        </w:tc>
        <w:tc>
          <w:tcPr>
            <w:tcW w:w="896" w:type="dxa"/>
            <w:shd w:val="clear" w:color="auto" w:fill="auto"/>
            <w:noWrap/>
            <w:vAlign w:val="center"/>
            <w:hideMark/>
          </w:tcPr>
          <w:p w14:paraId="36EEE1C5"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65,3</w:t>
            </w:r>
          </w:p>
        </w:tc>
        <w:tc>
          <w:tcPr>
            <w:tcW w:w="896" w:type="dxa"/>
            <w:shd w:val="clear" w:color="auto" w:fill="auto"/>
            <w:noWrap/>
            <w:vAlign w:val="center"/>
            <w:hideMark/>
          </w:tcPr>
          <w:p w14:paraId="05581464"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35,2</w:t>
            </w:r>
          </w:p>
        </w:tc>
        <w:tc>
          <w:tcPr>
            <w:tcW w:w="896" w:type="dxa"/>
            <w:shd w:val="clear" w:color="auto" w:fill="auto"/>
            <w:noWrap/>
            <w:vAlign w:val="center"/>
            <w:hideMark/>
          </w:tcPr>
          <w:p w14:paraId="1F13014B"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5,0</w:t>
            </w:r>
          </w:p>
        </w:tc>
        <w:tc>
          <w:tcPr>
            <w:tcW w:w="896" w:type="dxa"/>
            <w:shd w:val="clear" w:color="auto" w:fill="auto"/>
            <w:noWrap/>
            <w:vAlign w:val="center"/>
            <w:hideMark/>
          </w:tcPr>
          <w:p w14:paraId="3725603B"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0,0</w:t>
            </w:r>
          </w:p>
        </w:tc>
      </w:tr>
      <w:tr w:rsidR="00357BB2" w:rsidRPr="00D8253C" w14:paraId="0AB419FC" w14:textId="77777777" w:rsidTr="00204BD5">
        <w:trPr>
          <w:trHeight w:val="288"/>
        </w:trPr>
        <w:tc>
          <w:tcPr>
            <w:tcW w:w="2263" w:type="dxa"/>
            <w:shd w:val="clear" w:color="auto" w:fill="auto"/>
            <w:noWrap/>
            <w:vAlign w:val="center"/>
            <w:hideMark/>
          </w:tcPr>
          <w:p w14:paraId="2C775320"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2.Intresten</w:t>
            </w:r>
          </w:p>
        </w:tc>
        <w:tc>
          <w:tcPr>
            <w:tcW w:w="896" w:type="dxa"/>
            <w:shd w:val="clear" w:color="auto" w:fill="auto"/>
            <w:noWrap/>
            <w:vAlign w:val="center"/>
            <w:hideMark/>
          </w:tcPr>
          <w:p w14:paraId="78BCAA4B"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41,9</w:t>
            </w:r>
          </w:p>
        </w:tc>
        <w:tc>
          <w:tcPr>
            <w:tcW w:w="896" w:type="dxa"/>
            <w:shd w:val="clear" w:color="auto" w:fill="auto"/>
            <w:noWrap/>
            <w:vAlign w:val="center"/>
            <w:hideMark/>
          </w:tcPr>
          <w:p w14:paraId="78DDFDDF"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35,2</w:t>
            </w:r>
          </w:p>
        </w:tc>
        <w:tc>
          <w:tcPr>
            <w:tcW w:w="896" w:type="dxa"/>
            <w:shd w:val="clear" w:color="auto" w:fill="auto"/>
            <w:noWrap/>
            <w:vAlign w:val="center"/>
            <w:hideMark/>
          </w:tcPr>
          <w:p w14:paraId="77615350"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28,0</w:t>
            </w:r>
          </w:p>
        </w:tc>
        <w:tc>
          <w:tcPr>
            <w:tcW w:w="896" w:type="dxa"/>
            <w:shd w:val="clear" w:color="auto" w:fill="auto"/>
            <w:noWrap/>
            <w:vAlign w:val="center"/>
            <w:hideMark/>
          </w:tcPr>
          <w:p w14:paraId="6BC61547"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20,8</w:t>
            </w:r>
          </w:p>
        </w:tc>
        <w:tc>
          <w:tcPr>
            <w:tcW w:w="896" w:type="dxa"/>
            <w:shd w:val="clear" w:color="auto" w:fill="auto"/>
            <w:noWrap/>
            <w:vAlign w:val="center"/>
            <w:hideMark/>
          </w:tcPr>
          <w:p w14:paraId="292B3051"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13,6</w:t>
            </w:r>
          </w:p>
        </w:tc>
        <w:tc>
          <w:tcPr>
            <w:tcW w:w="896" w:type="dxa"/>
            <w:shd w:val="clear" w:color="auto" w:fill="auto"/>
            <w:noWrap/>
            <w:vAlign w:val="center"/>
            <w:hideMark/>
          </w:tcPr>
          <w:p w14:paraId="78E96013"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6,4</w:t>
            </w:r>
          </w:p>
        </w:tc>
        <w:tc>
          <w:tcPr>
            <w:tcW w:w="896" w:type="dxa"/>
            <w:shd w:val="clear" w:color="auto" w:fill="auto"/>
            <w:noWrap/>
            <w:vAlign w:val="center"/>
            <w:hideMark/>
          </w:tcPr>
          <w:p w14:paraId="2C17B223"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0,0</w:t>
            </w:r>
          </w:p>
        </w:tc>
        <w:tc>
          <w:tcPr>
            <w:tcW w:w="896" w:type="dxa"/>
            <w:shd w:val="clear" w:color="auto" w:fill="auto"/>
            <w:noWrap/>
            <w:vAlign w:val="center"/>
            <w:hideMark/>
          </w:tcPr>
          <w:p w14:paraId="2419BEA9" w14:textId="77777777" w:rsidR="00357BB2" w:rsidRPr="005C2C08" w:rsidRDefault="00357BB2" w:rsidP="00204BD5">
            <w:pPr>
              <w:jc w:val="right"/>
              <w:rPr>
                <w:rFonts w:ascii="Verdana" w:hAnsi="Verdana" w:cs="Calibri"/>
                <w:sz w:val="16"/>
                <w:szCs w:val="16"/>
                <w:lang w:val="nl-BE" w:eastAsia="nl-BE"/>
              </w:rPr>
            </w:pPr>
            <w:r w:rsidRPr="005C2C08">
              <w:rPr>
                <w:rFonts w:ascii="Verdana" w:hAnsi="Verdana" w:cs="Calibri"/>
                <w:sz w:val="16"/>
                <w:szCs w:val="16"/>
              </w:rPr>
              <w:t>0,0</w:t>
            </w:r>
          </w:p>
        </w:tc>
      </w:tr>
      <w:tr w:rsidR="00357BB2" w:rsidRPr="00D8253C" w14:paraId="09521A67" w14:textId="77777777" w:rsidTr="00204BD5">
        <w:trPr>
          <w:trHeight w:val="288"/>
        </w:trPr>
        <w:tc>
          <w:tcPr>
            <w:tcW w:w="2263" w:type="dxa"/>
            <w:shd w:val="clear" w:color="auto" w:fill="auto"/>
            <w:noWrap/>
            <w:vAlign w:val="center"/>
            <w:hideMark/>
          </w:tcPr>
          <w:p w14:paraId="3A55A20D"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3.Woonbonus 2005-2014</w:t>
            </w:r>
          </w:p>
        </w:tc>
        <w:tc>
          <w:tcPr>
            <w:tcW w:w="896" w:type="dxa"/>
            <w:shd w:val="clear" w:color="auto" w:fill="auto"/>
            <w:noWrap/>
            <w:vAlign w:val="center"/>
            <w:hideMark/>
          </w:tcPr>
          <w:p w14:paraId="0236ADD5"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933,4</w:t>
            </w:r>
          </w:p>
        </w:tc>
        <w:tc>
          <w:tcPr>
            <w:tcW w:w="896" w:type="dxa"/>
            <w:shd w:val="clear" w:color="auto" w:fill="auto"/>
            <w:noWrap/>
            <w:vAlign w:val="center"/>
            <w:hideMark/>
          </w:tcPr>
          <w:p w14:paraId="06B78772"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859,3</w:t>
            </w:r>
          </w:p>
        </w:tc>
        <w:tc>
          <w:tcPr>
            <w:tcW w:w="896" w:type="dxa"/>
            <w:shd w:val="clear" w:color="auto" w:fill="auto"/>
            <w:noWrap/>
            <w:vAlign w:val="center"/>
            <w:hideMark/>
          </w:tcPr>
          <w:p w14:paraId="49D3C355"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786,5</w:t>
            </w:r>
          </w:p>
        </w:tc>
        <w:tc>
          <w:tcPr>
            <w:tcW w:w="896" w:type="dxa"/>
            <w:shd w:val="clear" w:color="auto" w:fill="auto"/>
            <w:noWrap/>
            <w:vAlign w:val="center"/>
            <w:hideMark/>
          </w:tcPr>
          <w:p w14:paraId="5BF97713"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713,8</w:t>
            </w:r>
          </w:p>
        </w:tc>
        <w:tc>
          <w:tcPr>
            <w:tcW w:w="896" w:type="dxa"/>
            <w:shd w:val="clear" w:color="auto" w:fill="auto"/>
            <w:noWrap/>
            <w:vAlign w:val="center"/>
            <w:hideMark/>
          </w:tcPr>
          <w:p w14:paraId="0C59F157"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641,1</w:t>
            </w:r>
          </w:p>
        </w:tc>
        <w:tc>
          <w:tcPr>
            <w:tcW w:w="896" w:type="dxa"/>
            <w:shd w:val="clear" w:color="auto" w:fill="auto"/>
            <w:noWrap/>
            <w:vAlign w:val="center"/>
            <w:hideMark/>
          </w:tcPr>
          <w:p w14:paraId="718C5D7C"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568,3</w:t>
            </w:r>
          </w:p>
        </w:tc>
        <w:tc>
          <w:tcPr>
            <w:tcW w:w="896" w:type="dxa"/>
            <w:shd w:val="clear" w:color="auto" w:fill="auto"/>
            <w:noWrap/>
            <w:vAlign w:val="center"/>
            <w:hideMark/>
          </w:tcPr>
          <w:p w14:paraId="30EB57CE"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495,6</w:t>
            </w:r>
          </w:p>
        </w:tc>
        <w:tc>
          <w:tcPr>
            <w:tcW w:w="896" w:type="dxa"/>
            <w:shd w:val="clear" w:color="auto" w:fill="auto"/>
            <w:noWrap/>
            <w:vAlign w:val="center"/>
            <w:hideMark/>
          </w:tcPr>
          <w:p w14:paraId="4F945A1E"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422,9</w:t>
            </w:r>
          </w:p>
        </w:tc>
      </w:tr>
      <w:tr w:rsidR="00357BB2" w:rsidRPr="00D8253C" w14:paraId="06B383CC" w14:textId="77777777" w:rsidTr="00204BD5">
        <w:trPr>
          <w:trHeight w:val="288"/>
        </w:trPr>
        <w:tc>
          <w:tcPr>
            <w:tcW w:w="2263" w:type="dxa"/>
            <w:shd w:val="clear" w:color="auto" w:fill="auto"/>
            <w:noWrap/>
            <w:vAlign w:val="center"/>
            <w:hideMark/>
          </w:tcPr>
          <w:p w14:paraId="2DCB8B4E"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4.Langetermijnsparen</w:t>
            </w:r>
          </w:p>
        </w:tc>
        <w:tc>
          <w:tcPr>
            <w:tcW w:w="896" w:type="dxa"/>
            <w:shd w:val="clear" w:color="auto" w:fill="auto"/>
            <w:noWrap/>
            <w:vAlign w:val="center"/>
            <w:hideMark/>
          </w:tcPr>
          <w:p w14:paraId="74ABF76A"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48,9</w:t>
            </w:r>
          </w:p>
        </w:tc>
        <w:tc>
          <w:tcPr>
            <w:tcW w:w="896" w:type="dxa"/>
            <w:shd w:val="clear" w:color="auto" w:fill="auto"/>
            <w:noWrap/>
            <w:vAlign w:val="center"/>
            <w:hideMark/>
          </w:tcPr>
          <w:p w14:paraId="043F93AC"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40,3</w:t>
            </w:r>
          </w:p>
        </w:tc>
        <w:tc>
          <w:tcPr>
            <w:tcW w:w="896" w:type="dxa"/>
            <w:shd w:val="clear" w:color="auto" w:fill="auto"/>
            <w:noWrap/>
            <w:vAlign w:val="center"/>
            <w:hideMark/>
          </w:tcPr>
          <w:p w14:paraId="1610F232"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31,7</w:t>
            </w:r>
          </w:p>
        </w:tc>
        <w:tc>
          <w:tcPr>
            <w:tcW w:w="896" w:type="dxa"/>
            <w:shd w:val="clear" w:color="auto" w:fill="auto"/>
            <w:noWrap/>
            <w:vAlign w:val="center"/>
            <w:hideMark/>
          </w:tcPr>
          <w:p w14:paraId="2328314C"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23,1</w:t>
            </w:r>
          </w:p>
        </w:tc>
        <w:tc>
          <w:tcPr>
            <w:tcW w:w="896" w:type="dxa"/>
            <w:shd w:val="clear" w:color="auto" w:fill="auto"/>
            <w:noWrap/>
            <w:vAlign w:val="center"/>
            <w:hideMark/>
          </w:tcPr>
          <w:p w14:paraId="57F7EEE0"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14,6</w:t>
            </w:r>
          </w:p>
        </w:tc>
        <w:tc>
          <w:tcPr>
            <w:tcW w:w="896" w:type="dxa"/>
            <w:shd w:val="clear" w:color="auto" w:fill="auto"/>
            <w:noWrap/>
            <w:vAlign w:val="center"/>
            <w:hideMark/>
          </w:tcPr>
          <w:p w14:paraId="5D93DF0A"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6,0</w:t>
            </w:r>
          </w:p>
        </w:tc>
        <w:tc>
          <w:tcPr>
            <w:tcW w:w="896" w:type="dxa"/>
            <w:shd w:val="clear" w:color="auto" w:fill="auto"/>
            <w:noWrap/>
            <w:vAlign w:val="center"/>
            <w:hideMark/>
          </w:tcPr>
          <w:p w14:paraId="0CE07068"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0,0</w:t>
            </w:r>
          </w:p>
        </w:tc>
        <w:tc>
          <w:tcPr>
            <w:tcW w:w="896" w:type="dxa"/>
            <w:shd w:val="clear" w:color="auto" w:fill="auto"/>
            <w:noWrap/>
            <w:vAlign w:val="center"/>
            <w:hideMark/>
          </w:tcPr>
          <w:p w14:paraId="1944FD3B"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0,0</w:t>
            </w:r>
          </w:p>
        </w:tc>
      </w:tr>
      <w:tr w:rsidR="00357BB2" w:rsidRPr="00D8253C" w14:paraId="4B21B5B4" w14:textId="77777777" w:rsidTr="00204BD5">
        <w:trPr>
          <w:trHeight w:val="288"/>
        </w:trPr>
        <w:tc>
          <w:tcPr>
            <w:tcW w:w="2263" w:type="dxa"/>
            <w:shd w:val="clear" w:color="auto" w:fill="auto"/>
            <w:noWrap/>
            <w:vAlign w:val="center"/>
            <w:hideMark/>
          </w:tcPr>
          <w:p w14:paraId="2FD3E7E7"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5.Woonbonus 2015</w:t>
            </w:r>
          </w:p>
        </w:tc>
        <w:tc>
          <w:tcPr>
            <w:tcW w:w="896" w:type="dxa"/>
            <w:shd w:val="clear" w:color="auto" w:fill="auto"/>
            <w:noWrap/>
            <w:vAlign w:val="center"/>
            <w:hideMark/>
          </w:tcPr>
          <w:p w14:paraId="6F7444A2"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76,9</w:t>
            </w:r>
          </w:p>
        </w:tc>
        <w:tc>
          <w:tcPr>
            <w:tcW w:w="896" w:type="dxa"/>
            <w:shd w:val="clear" w:color="auto" w:fill="auto"/>
            <w:noWrap/>
            <w:vAlign w:val="center"/>
            <w:hideMark/>
          </w:tcPr>
          <w:p w14:paraId="5A79F223"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134B0927"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40AAC7E1"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72C2CABE"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35E8CA38"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3EA28F19"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c>
          <w:tcPr>
            <w:tcW w:w="896" w:type="dxa"/>
            <w:shd w:val="clear" w:color="auto" w:fill="auto"/>
            <w:noWrap/>
            <w:vAlign w:val="center"/>
            <w:hideMark/>
          </w:tcPr>
          <w:p w14:paraId="7D589A3B"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73,1</w:t>
            </w:r>
          </w:p>
        </w:tc>
      </w:tr>
      <w:tr w:rsidR="00357BB2" w:rsidRPr="00D8253C" w14:paraId="71D2FC51" w14:textId="77777777" w:rsidTr="00204BD5">
        <w:trPr>
          <w:trHeight w:val="288"/>
        </w:trPr>
        <w:tc>
          <w:tcPr>
            <w:tcW w:w="2263" w:type="dxa"/>
            <w:shd w:val="clear" w:color="auto" w:fill="auto"/>
            <w:noWrap/>
            <w:vAlign w:val="center"/>
            <w:hideMark/>
          </w:tcPr>
          <w:p w14:paraId="6744A65C" w14:textId="77777777" w:rsidR="00357BB2" w:rsidRPr="00D8253C" w:rsidRDefault="00357BB2" w:rsidP="00204BD5">
            <w:pPr>
              <w:rPr>
                <w:rFonts w:ascii="Verdana" w:hAnsi="Verdana" w:cs="Calibri"/>
                <w:color w:val="000000"/>
                <w:sz w:val="16"/>
                <w:szCs w:val="16"/>
                <w:lang w:val="nl-BE" w:eastAsia="nl-BE"/>
              </w:rPr>
            </w:pPr>
            <w:r w:rsidRPr="00D8253C">
              <w:rPr>
                <w:rFonts w:ascii="Verdana" w:hAnsi="Verdana" w:cs="Calibri"/>
                <w:color w:val="000000"/>
                <w:sz w:val="16"/>
                <w:szCs w:val="16"/>
                <w:lang w:val="nl-BE" w:eastAsia="nl-BE"/>
              </w:rPr>
              <w:t>6.Geïntegreerde woonbonus</w:t>
            </w:r>
          </w:p>
        </w:tc>
        <w:tc>
          <w:tcPr>
            <w:tcW w:w="896" w:type="dxa"/>
            <w:shd w:val="clear" w:color="auto" w:fill="auto"/>
            <w:noWrap/>
            <w:vAlign w:val="center"/>
            <w:hideMark/>
          </w:tcPr>
          <w:p w14:paraId="4FAF0DCF"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228,0</w:t>
            </w:r>
          </w:p>
        </w:tc>
        <w:tc>
          <w:tcPr>
            <w:tcW w:w="896" w:type="dxa"/>
            <w:shd w:val="clear" w:color="auto" w:fill="auto"/>
            <w:noWrap/>
            <w:vAlign w:val="center"/>
            <w:hideMark/>
          </w:tcPr>
          <w:p w14:paraId="09B197BE"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319,2</w:t>
            </w:r>
          </w:p>
        </w:tc>
        <w:tc>
          <w:tcPr>
            <w:tcW w:w="896" w:type="dxa"/>
            <w:shd w:val="clear" w:color="auto" w:fill="auto"/>
            <w:noWrap/>
            <w:vAlign w:val="center"/>
            <w:hideMark/>
          </w:tcPr>
          <w:p w14:paraId="7D1709D2"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c>
          <w:tcPr>
            <w:tcW w:w="896" w:type="dxa"/>
            <w:shd w:val="clear" w:color="auto" w:fill="auto"/>
            <w:noWrap/>
            <w:vAlign w:val="center"/>
            <w:hideMark/>
          </w:tcPr>
          <w:p w14:paraId="77E0A729"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c>
          <w:tcPr>
            <w:tcW w:w="896" w:type="dxa"/>
            <w:shd w:val="clear" w:color="auto" w:fill="auto"/>
            <w:noWrap/>
            <w:vAlign w:val="center"/>
            <w:hideMark/>
          </w:tcPr>
          <w:p w14:paraId="0079C310"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c>
          <w:tcPr>
            <w:tcW w:w="896" w:type="dxa"/>
            <w:shd w:val="clear" w:color="auto" w:fill="auto"/>
            <w:noWrap/>
            <w:vAlign w:val="center"/>
            <w:hideMark/>
          </w:tcPr>
          <w:p w14:paraId="5A3CF755"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c>
          <w:tcPr>
            <w:tcW w:w="896" w:type="dxa"/>
            <w:shd w:val="clear" w:color="auto" w:fill="auto"/>
            <w:noWrap/>
            <w:vAlign w:val="center"/>
            <w:hideMark/>
          </w:tcPr>
          <w:p w14:paraId="6FE94C66"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c>
          <w:tcPr>
            <w:tcW w:w="896" w:type="dxa"/>
            <w:shd w:val="clear" w:color="auto" w:fill="auto"/>
            <w:noWrap/>
            <w:vAlign w:val="center"/>
            <w:hideMark/>
          </w:tcPr>
          <w:p w14:paraId="6424C629" w14:textId="77777777" w:rsidR="00357BB2" w:rsidRPr="00D8253C" w:rsidRDefault="00357BB2" w:rsidP="00204BD5">
            <w:pPr>
              <w:jc w:val="right"/>
              <w:rPr>
                <w:rFonts w:ascii="Verdana" w:hAnsi="Verdana" w:cs="Calibri"/>
                <w:sz w:val="16"/>
                <w:szCs w:val="16"/>
                <w:lang w:val="nl-BE" w:eastAsia="nl-BE"/>
              </w:rPr>
            </w:pPr>
            <w:r w:rsidRPr="00D8253C">
              <w:rPr>
                <w:rFonts w:ascii="Verdana" w:hAnsi="Verdana" w:cs="Calibri"/>
                <w:sz w:val="16"/>
                <w:szCs w:val="16"/>
                <w:lang w:val="nl-BE" w:eastAsia="nl-BE"/>
              </w:rPr>
              <w:t>339,5</w:t>
            </w:r>
          </w:p>
        </w:tc>
      </w:tr>
      <w:tr w:rsidR="00357BB2" w:rsidRPr="00D8253C" w14:paraId="095537BB" w14:textId="77777777" w:rsidTr="00204BD5">
        <w:trPr>
          <w:trHeight w:val="288"/>
        </w:trPr>
        <w:tc>
          <w:tcPr>
            <w:tcW w:w="2263" w:type="dxa"/>
            <w:shd w:val="clear" w:color="auto" w:fill="auto"/>
            <w:noWrap/>
            <w:vAlign w:val="center"/>
            <w:hideMark/>
          </w:tcPr>
          <w:p w14:paraId="46269F12" w14:textId="77777777" w:rsidR="00357BB2" w:rsidRPr="00D8253C" w:rsidRDefault="00357BB2" w:rsidP="00204BD5">
            <w:pPr>
              <w:rPr>
                <w:rFonts w:ascii="Verdana" w:hAnsi="Verdana" w:cs="Calibri"/>
                <w:b/>
                <w:bCs/>
                <w:color w:val="000000"/>
                <w:sz w:val="16"/>
                <w:szCs w:val="16"/>
                <w:lang w:val="nl-BE" w:eastAsia="nl-BE"/>
              </w:rPr>
            </w:pPr>
            <w:r w:rsidRPr="00D8253C">
              <w:rPr>
                <w:rFonts w:ascii="Verdana" w:hAnsi="Verdana" w:cs="Calibri"/>
                <w:b/>
                <w:bCs/>
                <w:color w:val="000000"/>
                <w:sz w:val="16"/>
                <w:szCs w:val="16"/>
                <w:lang w:val="nl-BE" w:eastAsia="nl-BE"/>
              </w:rPr>
              <w:t>Totaal</w:t>
            </w:r>
          </w:p>
        </w:tc>
        <w:tc>
          <w:tcPr>
            <w:tcW w:w="896" w:type="dxa"/>
            <w:shd w:val="clear" w:color="auto" w:fill="auto"/>
            <w:noWrap/>
            <w:vAlign w:val="center"/>
            <w:hideMark/>
          </w:tcPr>
          <w:p w14:paraId="52B141E4"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1.516,8</w:t>
            </w:r>
          </w:p>
        </w:tc>
        <w:tc>
          <w:tcPr>
            <w:tcW w:w="896" w:type="dxa"/>
            <w:shd w:val="clear" w:color="auto" w:fill="auto"/>
            <w:noWrap/>
            <w:vAlign w:val="center"/>
            <w:hideMark/>
          </w:tcPr>
          <w:p w14:paraId="7539A530"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1.482,9</w:t>
            </w:r>
          </w:p>
        </w:tc>
        <w:tc>
          <w:tcPr>
            <w:tcW w:w="896" w:type="dxa"/>
            <w:shd w:val="clear" w:color="auto" w:fill="auto"/>
            <w:noWrap/>
            <w:vAlign w:val="center"/>
            <w:hideMark/>
          </w:tcPr>
          <w:p w14:paraId="3F8308B7"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1.384,4</w:t>
            </w:r>
          </w:p>
        </w:tc>
        <w:tc>
          <w:tcPr>
            <w:tcW w:w="896" w:type="dxa"/>
            <w:shd w:val="clear" w:color="auto" w:fill="auto"/>
            <w:noWrap/>
            <w:vAlign w:val="center"/>
            <w:hideMark/>
          </w:tcPr>
          <w:p w14:paraId="20F22C13"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1.265,8</w:t>
            </w:r>
          </w:p>
        </w:tc>
        <w:tc>
          <w:tcPr>
            <w:tcW w:w="896" w:type="dxa"/>
            <w:shd w:val="clear" w:color="auto" w:fill="auto"/>
            <w:noWrap/>
            <w:vAlign w:val="center"/>
            <w:hideMark/>
          </w:tcPr>
          <w:p w14:paraId="05919558"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1.147,2</w:t>
            </w:r>
          </w:p>
        </w:tc>
        <w:tc>
          <w:tcPr>
            <w:tcW w:w="896" w:type="dxa"/>
            <w:shd w:val="clear" w:color="auto" w:fill="auto"/>
            <w:noWrap/>
            <w:vAlign w:val="center"/>
            <w:hideMark/>
          </w:tcPr>
          <w:p w14:paraId="3D1B0C8A"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1.028,5</w:t>
            </w:r>
          </w:p>
        </w:tc>
        <w:tc>
          <w:tcPr>
            <w:tcW w:w="896" w:type="dxa"/>
            <w:shd w:val="clear" w:color="auto" w:fill="auto"/>
            <w:noWrap/>
            <w:vAlign w:val="center"/>
            <w:hideMark/>
          </w:tcPr>
          <w:p w14:paraId="51BCCD1E"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913,2</w:t>
            </w:r>
          </w:p>
        </w:tc>
        <w:tc>
          <w:tcPr>
            <w:tcW w:w="896" w:type="dxa"/>
            <w:shd w:val="clear" w:color="auto" w:fill="auto"/>
            <w:noWrap/>
            <w:vAlign w:val="center"/>
            <w:hideMark/>
          </w:tcPr>
          <w:p w14:paraId="5315E093" w14:textId="77777777" w:rsidR="00357BB2" w:rsidRPr="00D8253C" w:rsidRDefault="00357BB2" w:rsidP="00204BD5">
            <w:pPr>
              <w:jc w:val="right"/>
              <w:rPr>
                <w:rFonts w:ascii="Verdana" w:hAnsi="Verdana" w:cs="Calibri"/>
                <w:b/>
                <w:bCs/>
                <w:sz w:val="16"/>
                <w:szCs w:val="16"/>
                <w:lang w:val="nl-BE" w:eastAsia="nl-BE"/>
              </w:rPr>
            </w:pPr>
            <w:r w:rsidRPr="00D8253C">
              <w:rPr>
                <w:rFonts w:ascii="Verdana" w:hAnsi="Verdana" w:cs="Calibri"/>
                <w:b/>
                <w:bCs/>
                <w:sz w:val="16"/>
                <w:szCs w:val="16"/>
                <w:lang w:val="nl-BE" w:eastAsia="nl-BE"/>
              </w:rPr>
              <w:t>835,5</w:t>
            </w:r>
          </w:p>
        </w:tc>
      </w:tr>
    </w:tbl>
    <w:p w14:paraId="2547A99F" w14:textId="77777777" w:rsidR="00357BB2" w:rsidRDefault="00357BB2" w:rsidP="00357BB2">
      <w:pPr>
        <w:jc w:val="both"/>
        <w:rPr>
          <w:rFonts w:ascii="Verdana" w:hAnsi="Verdana"/>
          <w:sz w:val="20"/>
          <w:szCs w:val="20"/>
        </w:rPr>
      </w:pPr>
    </w:p>
    <w:p w14:paraId="49430470" w14:textId="77777777" w:rsidR="00357BB2" w:rsidRPr="002B1740" w:rsidRDefault="00357BB2" w:rsidP="00357BB2">
      <w:pPr>
        <w:jc w:val="both"/>
        <w:rPr>
          <w:rFonts w:ascii="Verdana" w:hAnsi="Verdana"/>
          <w:sz w:val="20"/>
          <w:szCs w:val="20"/>
        </w:rPr>
      </w:pPr>
    </w:p>
    <w:p w14:paraId="0204B809" w14:textId="2B0E2810" w:rsidR="00357BB2" w:rsidRDefault="00357BB2" w:rsidP="00803DB2">
      <w:pPr>
        <w:jc w:val="both"/>
        <w:rPr>
          <w:rFonts w:ascii="Verdana" w:hAnsi="Verdana"/>
          <w:sz w:val="20"/>
          <w:szCs w:val="20"/>
        </w:rPr>
      </w:pPr>
    </w:p>
    <w:p w14:paraId="3D5D871A" w14:textId="77777777" w:rsidR="00803DB2" w:rsidRDefault="00803DB2" w:rsidP="00803DB2">
      <w:pPr>
        <w:jc w:val="both"/>
        <w:rPr>
          <w:rFonts w:ascii="Verdana" w:hAnsi="Verdana"/>
          <w:sz w:val="20"/>
          <w:szCs w:val="20"/>
        </w:rPr>
      </w:pPr>
    </w:p>
    <w:p w14:paraId="3075292E" w14:textId="77777777" w:rsidR="004C2DFE" w:rsidRPr="004625B6" w:rsidRDefault="004C2DFE" w:rsidP="004625B6">
      <w:pPr>
        <w:tabs>
          <w:tab w:val="left" w:pos="2832"/>
        </w:tabs>
        <w:rPr>
          <w:rFonts w:ascii="Verdana" w:hAnsi="Verdana"/>
          <w:sz w:val="20"/>
          <w:szCs w:val="20"/>
        </w:rPr>
      </w:pPr>
    </w:p>
    <w:sectPr w:rsidR="004C2DFE" w:rsidRPr="004625B6"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90AE9" w14:textId="77777777" w:rsidR="00335886" w:rsidRDefault="00335886" w:rsidP="004C2DFE">
      <w:r>
        <w:separator/>
      </w:r>
    </w:p>
  </w:endnote>
  <w:endnote w:type="continuationSeparator" w:id="0">
    <w:p w14:paraId="58E4CDDD" w14:textId="77777777" w:rsidR="00335886" w:rsidRDefault="00335886" w:rsidP="004C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A713" w14:textId="77777777" w:rsidR="00335886" w:rsidRDefault="00335886" w:rsidP="004C2DFE">
      <w:r>
        <w:separator/>
      </w:r>
    </w:p>
  </w:footnote>
  <w:footnote w:type="continuationSeparator" w:id="0">
    <w:p w14:paraId="1C0CCE53" w14:textId="77777777" w:rsidR="00335886" w:rsidRDefault="00335886" w:rsidP="004C2DFE">
      <w:r>
        <w:continuationSeparator/>
      </w:r>
    </w:p>
  </w:footnote>
  <w:footnote w:id="1">
    <w:p w14:paraId="7149DB55" w14:textId="27985796" w:rsidR="009708C2" w:rsidRPr="00E21903" w:rsidRDefault="009708C2">
      <w:pPr>
        <w:pStyle w:val="Voetnoottekst"/>
        <w:rPr>
          <w:sz w:val="16"/>
          <w:szCs w:val="16"/>
        </w:rPr>
      </w:pPr>
      <w:r w:rsidRPr="00E21903">
        <w:rPr>
          <w:rStyle w:val="Voetnootmarkering"/>
          <w:sz w:val="16"/>
          <w:szCs w:val="16"/>
        </w:rPr>
        <w:footnoteRef/>
      </w:r>
      <w:r w:rsidRPr="00E21903">
        <w:rPr>
          <w:sz w:val="16"/>
          <w:szCs w:val="16"/>
        </w:rPr>
        <w:t xml:space="preserve"> </w:t>
      </w:r>
      <w:bookmarkStart w:id="2" w:name="_Hlk96509890"/>
      <w:r w:rsidRPr="00E21903">
        <w:rPr>
          <w:sz w:val="16"/>
          <w:szCs w:val="16"/>
        </w:rPr>
        <w:t>Art. 2.9.4.2.8 VCF</w:t>
      </w:r>
      <w:bookmarkEnd w:id="2"/>
    </w:p>
  </w:footnote>
  <w:footnote w:id="2">
    <w:p w14:paraId="7D7BD463" w14:textId="70EA9407" w:rsidR="008E349F" w:rsidRPr="00E21903" w:rsidRDefault="008E349F">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T</w:t>
      </w:r>
      <w:r w:rsidRPr="00E21903">
        <w:rPr>
          <w:sz w:val="16"/>
          <w:szCs w:val="16"/>
        </w:rPr>
        <w:t>en gunste van kopers van sociale woningen (art. 2.9.4.2.3 VCF)</w:t>
      </w:r>
    </w:p>
  </w:footnote>
  <w:footnote w:id="3">
    <w:p w14:paraId="521C5960" w14:textId="723DB46B" w:rsidR="008E349F" w:rsidRPr="00E21903" w:rsidRDefault="008E349F">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T</w:t>
      </w:r>
      <w:r w:rsidRPr="00E21903">
        <w:rPr>
          <w:sz w:val="16"/>
          <w:szCs w:val="16"/>
        </w:rPr>
        <w:t>en gunste van beroepspersonen (art. 2.9.4.2.4 VCF);</w:t>
      </w:r>
    </w:p>
  </w:footnote>
  <w:footnote w:id="4">
    <w:p w14:paraId="4EB6523E" w14:textId="443F7205" w:rsidR="008E349F" w:rsidRPr="00E21903" w:rsidRDefault="008E349F">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A</w:t>
      </w:r>
      <w:r w:rsidRPr="00E21903">
        <w:rPr>
          <w:sz w:val="16"/>
          <w:szCs w:val="16"/>
        </w:rPr>
        <w:t>ankoop van de enige eigen woning van de koper (art. 2.9.4.2.11 VCF)</w:t>
      </w:r>
    </w:p>
  </w:footnote>
  <w:footnote w:id="5">
    <w:p w14:paraId="39F141D6" w14:textId="79BB0670" w:rsidR="008E349F" w:rsidRPr="00E21903" w:rsidRDefault="008E349F">
      <w:pPr>
        <w:pStyle w:val="Voetnoottekst"/>
        <w:rPr>
          <w:sz w:val="16"/>
          <w:szCs w:val="16"/>
          <w:lang w:val="nl-BE"/>
        </w:rPr>
      </w:pPr>
      <w:r w:rsidRPr="00E21903">
        <w:rPr>
          <w:rStyle w:val="Voetnootmarkering"/>
          <w:sz w:val="16"/>
          <w:szCs w:val="16"/>
        </w:rPr>
        <w:footnoteRef/>
      </w:r>
      <w:r w:rsidRPr="00E21903">
        <w:rPr>
          <w:sz w:val="16"/>
          <w:szCs w:val="16"/>
        </w:rPr>
        <w:t xml:space="preserve"> </w:t>
      </w:r>
      <w:r w:rsidR="009708C2" w:rsidRPr="00E21903">
        <w:rPr>
          <w:sz w:val="16"/>
          <w:szCs w:val="16"/>
        </w:rPr>
        <w:t>Sedert 01/01/2020 bedraagt dit tarief 6%. Het oude tarief van 7 % kan nog verschuldigd zijn o.a. bij akten onder opschortende voorwaarde of akten die laattijdig geregistreerd werden.</w:t>
      </w:r>
    </w:p>
  </w:footnote>
  <w:footnote w:id="6">
    <w:p w14:paraId="769E11E3" w14:textId="6D7F6472" w:rsidR="00B22D71" w:rsidRPr="00E21903" w:rsidRDefault="00B22D71">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A</w:t>
      </w:r>
      <w:r w:rsidR="001C09D5" w:rsidRPr="00E21903">
        <w:rPr>
          <w:sz w:val="16"/>
          <w:szCs w:val="16"/>
        </w:rPr>
        <w:t>a</w:t>
      </w:r>
      <w:r w:rsidRPr="00E21903">
        <w:rPr>
          <w:sz w:val="16"/>
          <w:szCs w:val="16"/>
        </w:rPr>
        <w:t>nkoop van de enige eigen woning, met verbintenis tot ingrijpende energetische renovatie (art. 2.9.4.2.12 VCF)</w:t>
      </w:r>
    </w:p>
  </w:footnote>
  <w:footnote w:id="7">
    <w:p w14:paraId="3CE99F6D" w14:textId="0F04CBB0" w:rsidR="009708C2" w:rsidRPr="00E21903" w:rsidRDefault="009708C2">
      <w:pPr>
        <w:pStyle w:val="Voetnoottekst"/>
        <w:rPr>
          <w:sz w:val="16"/>
          <w:szCs w:val="16"/>
        </w:rPr>
      </w:pPr>
      <w:r w:rsidRPr="00E21903">
        <w:rPr>
          <w:rStyle w:val="Voetnootmarkering"/>
          <w:sz w:val="16"/>
          <w:szCs w:val="16"/>
        </w:rPr>
        <w:footnoteRef/>
      </w:r>
      <w:r w:rsidRPr="00E21903">
        <w:rPr>
          <w:sz w:val="16"/>
          <w:szCs w:val="16"/>
        </w:rPr>
        <w:t xml:space="preserve"> </w:t>
      </w:r>
      <w:r w:rsidR="00CD2BE9" w:rsidRPr="00E21903">
        <w:rPr>
          <w:sz w:val="16"/>
          <w:szCs w:val="16"/>
        </w:rPr>
        <w:t>Sedert 01/01/2020 bedraagt dit tarief 5%. Het oude tarief van 6 % kan nog verschuldigd zijn o.a. bij akten onder opschortende voorwaarde of akten die laattijdig geregistreerd werden.</w:t>
      </w:r>
    </w:p>
  </w:footnote>
  <w:footnote w:id="8">
    <w:p w14:paraId="5CF44D85" w14:textId="4B3D4C3E" w:rsidR="008E349F" w:rsidRPr="00E21903" w:rsidRDefault="008E349F">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A</w:t>
      </w:r>
      <w:r w:rsidRPr="00E21903">
        <w:rPr>
          <w:sz w:val="16"/>
          <w:szCs w:val="16"/>
        </w:rPr>
        <w:t>ankoop van de enige eigen woning van de koper, waarbij de woning een beschermd monument is (art. 2.9.42.14 VCF).</w:t>
      </w:r>
    </w:p>
  </w:footnote>
  <w:footnote w:id="9">
    <w:p w14:paraId="43A35BA0" w14:textId="09A2D6D8" w:rsidR="008E349F" w:rsidRPr="00E21903" w:rsidRDefault="008E349F">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H</w:t>
      </w:r>
      <w:r w:rsidRPr="00E21903">
        <w:rPr>
          <w:sz w:val="16"/>
          <w:szCs w:val="16"/>
        </w:rPr>
        <w:t>alvering van het tarief van 10% bij de aankoop van een beschermd monument (art. 2.9.4.2.10 VCF)</w:t>
      </w:r>
    </w:p>
  </w:footnote>
  <w:footnote w:id="10">
    <w:p w14:paraId="181CF653" w14:textId="4718DAA9" w:rsidR="00622C9E" w:rsidRPr="00E21903" w:rsidRDefault="00622C9E">
      <w:pPr>
        <w:pStyle w:val="Voetnoottekst"/>
        <w:rPr>
          <w:sz w:val="16"/>
          <w:szCs w:val="16"/>
        </w:rPr>
      </w:pPr>
      <w:r w:rsidRPr="00E21903">
        <w:rPr>
          <w:rStyle w:val="Voetnootmarkering"/>
          <w:sz w:val="16"/>
          <w:szCs w:val="16"/>
        </w:rPr>
        <w:footnoteRef/>
      </w:r>
      <w:r w:rsidRPr="00E21903">
        <w:rPr>
          <w:sz w:val="16"/>
          <w:szCs w:val="16"/>
        </w:rPr>
        <w:t xml:space="preserve"> </w:t>
      </w:r>
      <w:r w:rsidR="00BB017F" w:rsidRPr="00E21903">
        <w:rPr>
          <w:sz w:val="16"/>
          <w:szCs w:val="16"/>
        </w:rPr>
        <w:t>A</w:t>
      </w:r>
      <w:r w:rsidRPr="00E21903">
        <w:rPr>
          <w:sz w:val="16"/>
          <w:szCs w:val="16"/>
        </w:rPr>
        <w:t>ankoop van een woning die ter beschikking zal worden gesteld van een erkend sociaal verhuurkantoor (art. 2.9.4.2.13 VCF)</w:t>
      </w:r>
    </w:p>
  </w:footnote>
  <w:footnote w:id="11">
    <w:p w14:paraId="35E97224" w14:textId="2A494FE3" w:rsidR="00204BD5" w:rsidRPr="00E21903" w:rsidRDefault="00204BD5">
      <w:pPr>
        <w:pStyle w:val="Voetnoottekst"/>
        <w:rPr>
          <w:sz w:val="16"/>
          <w:szCs w:val="16"/>
          <w:lang w:val="nl-BE"/>
        </w:rPr>
      </w:pPr>
      <w:r w:rsidRPr="00E21903">
        <w:rPr>
          <w:rStyle w:val="Voetnootmarkering"/>
          <w:sz w:val="16"/>
          <w:szCs w:val="16"/>
        </w:rPr>
        <w:footnoteRef/>
      </w:r>
      <w:r w:rsidRPr="00E21903">
        <w:rPr>
          <w:sz w:val="16"/>
          <w:szCs w:val="16"/>
        </w:rPr>
        <w:t xml:space="preserve"> De ESR-ontvangsten 2021 bestaan voor de registratiebelasting uit de kasontvangsten van februari 2021 tot en met januari 2022.</w:t>
      </w:r>
    </w:p>
  </w:footnote>
  <w:footnote w:id="12">
    <w:p w14:paraId="123DBF74" w14:textId="4FBDDD98" w:rsidR="00204BD5" w:rsidRPr="00E21903" w:rsidRDefault="00204BD5">
      <w:pPr>
        <w:pStyle w:val="Voetnoottekst"/>
        <w:rPr>
          <w:sz w:val="16"/>
          <w:szCs w:val="16"/>
        </w:rPr>
      </w:pPr>
      <w:r w:rsidRPr="00E21903">
        <w:rPr>
          <w:rStyle w:val="Voetnootmarkering"/>
          <w:sz w:val="16"/>
          <w:szCs w:val="16"/>
        </w:rPr>
        <w:footnoteRef/>
      </w:r>
      <w:r w:rsidRPr="00E21903">
        <w:rPr>
          <w:sz w:val="16"/>
          <w:szCs w:val="16"/>
        </w:rPr>
        <w:t xml:space="preserve"> 5 jaar in geval van aankoop van een bouwgrond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E3C"/>
    <w:multiLevelType w:val="hybridMultilevel"/>
    <w:tmpl w:val="BF441BB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DFE7E5C"/>
    <w:multiLevelType w:val="hybridMultilevel"/>
    <w:tmpl w:val="CAE2FB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1D9655C"/>
    <w:multiLevelType w:val="hybridMultilevel"/>
    <w:tmpl w:val="66FC5644"/>
    <w:lvl w:ilvl="0" w:tplc="304A0FF4">
      <w:start w:val="1"/>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752CA7"/>
    <w:multiLevelType w:val="hybridMultilevel"/>
    <w:tmpl w:val="4816E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3FA13E7"/>
    <w:multiLevelType w:val="hybridMultilevel"/>
    <w:tmpl w:val="7930A8F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52B0EFC"/>
    <w:multiLevelType w:val="hybridMultilevel"/>
    <w:tmpl w:val="8E98D040"/>
    <w:lvl w:ilvl="0" w:tplc="797616B4">
      <w:start w:val="3"/>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70C0675"/>
    <w:multiLevelType w:val="hybridMultilevel"/>
    <w:tmpl w:val="26667C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3A820CC"/>
    <w:multiLevelType w:val="hybridMultilevel"/>
    <w:tmpl w:val="EAD443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1" w15:restartNumberingAfterBreak="0">
    <w:nsid w:val="74441E04"/>
    <w:multiLevelType w:val="hybridMultilevel"/>
    <w:tmpl w:val="78BA0B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10"/>
  </w:num>
  <w:num w:numId="3">
    <w:abstractNumId w:val="1"/>
  </w:num>
  <w:num w:numId="4">
    <w:abstractNumId w:val="8"/>
  </w:num>
  <w:num w:numId="5">
    <w:abstractNumId w:val="7"/>
  </w:num>
  <w:num w:numId="6">
    <w:abstractNumId w:val="3"/>
  </w:num>
  <w:num w:numId="7">
    <w:abstractNumId w:val="2"/>
  </w:num>
  <w:num w:numId="8">
    <w:abstractNumId w:val="9"/>
  </w:num>
  <w:num w:numId="9">
    <w:abstractNumId w:val="11"/>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8C"/>
    <w:rsid w:val="0000339A"/>
    <w:rsid w:val="0006761A"/>
    <w:rsid w:val="00087847"/>
    <w:rsid w:val="000936F5"/>
    <w:rsid w:val="000976E9"/>
    <w:rsid w:val="000A6E2C"/>
    <w:rsid w:val="000C2FD7"/>
    <w:rsid w:val="000C4E8C"/>
    <w:rsid w:val="000C633A"/>
    <w:rsid w:val="000D2DA0"/>
    <w:rsid w:val="000D6047"/>
    <w:rsid w:val="000F3532"/>
    <w:rsid w:val="001060CE"/>
    <w:rsid w:val="0011309F"/>
    <w:rsid w:val="001150D1"/>
    <w:rsid w:val="00117A1E"/>
    <w:rsid w:val="00137AAE"/>
    <w:rsid w:val="001579F0"/>
    <w:rsid w:val="001623B5"/>
    <w:rsid w:val="00182DFF"/>
    <w:rsid w:val="001A0E82"/>
    <w:rsid w:val="001B4551"/>
    <w:rsid w:val="001C09D5"/>
    <w:rsid w:val="001D5075"/>
    <w:rsid w:val="00200F23"/>
    <w:rsid w:val="002034D8"/>
    <w:rsid w:val="00204BD5"/>
    <w:rsid w:val="00210C07"/>
    <w:rsid w:val="00212D97"/>
    <w:rsid w:val="002344A9"/>
    <w:rsid w:val="002346BF"/>
    <w:rsid w:val="002400BC"/>
    <w:rsid w:val="0026399F"/>
    <w:rsid w:val="00275026"/>
    <w:rsid w:val="002917B2"/>
    <w:rsid w:val="002921A3"/>
    <w:rsid w:val="002C1412"/>
    <w:rsid w:val="002C2D84"/>
    <w:rsid w:val="002D75CC"/>
    <w:rsid w:val="002E2A29"/>
    <w:rsid w:val="002F1818"/>
    <w:rsid w:val="00301372"/>
    <w:rsid w:val="00301561"/>
    <w:rsid w:val="003044FC"/>
    <w:rsid w:val="003061F1"/>
    <w:rsid w:val="00320996"/>
    <w:rsid w:val="00326A58"/>
    <w:rsid w:val="00335886"/>
    <w:rsid w:val="003461EC"/>
    <w:rsid w:val="00357BB2"/>
    <w:rsid w:val="0036742F"/>
    <w:rsid w:val="00377362"/>
    <w:rsid w:val="00377C66"/>
    <w:rsid w:val="00382BEC"/>
    <w:rsid w:val="00385AFF"/>
    <w:rsid w:val="003A470F"/>
    <w:rsid w:val="003A6F1D"/>
    <w:rsid w:val="003A778E"/>
    <w:rsid w:val="003B427A"/>
    <w:rsid w:val="003F4337"/>
    <w:rsid w:val="00402E27"/>
    <w:rsid w:val="00406AE9"/>
    <w:rsid w:val="004131C1"/>
    <w:rsid w:val="00420428"/>
    <w:rsid w:val="0045768F"/>
    <w:rsid w:val="004625B6"/>
    <w:rsid w:val="00466661"/>
    <w:rsid w:val="004C2DFE"/>
    <w:rsid w:val="004E2C84"/>
    <w:rsid w:val="004F30D4"/>
    <w:rsid w:val="00501A0E"/>
    <w:rsid w:val="0050246F"/>
    <w:rsid w:val="00514CF7"/>
    <w:rsid w:val="00517D23"/>
    <w:rsid w:val="00532932"/>
    <w:rsid w:val="0053322B"/>
    <w:rsid w:val="005353E0"/>
    <w:rsid w:val="0054555B"/>
    <w:rsid w:val="00551063"/>
    <w:rsid w:val="00560F76"/>
    <w:rsid w:val="0056360C"/>
    <w:rsid w:val="00566135"/>
    <w:rsid w:val="00566BDA"/>
    <w:rsid w:val="00571C63"/>
    <w:rsid w:val="0057445D"/>
    <w:rsid w:val="005953AB"/>
    <w:rsid w:val="005A2334"/>
    <w:rsid w:val="005A6474"/>
    <w:rsid w:val="005C5175"/>
    <w:rsid w:val="005D18CF"/>
    <w:rsid w:val="005D21F1"/>
    <w:rsid w:val="005D5073"/>
    <w:rsid w:val="005D6481"/>
    <w:rsid w:val="005E38CA"/>
    <w:rsid w:val="005E3C8B"/>
    <w:rsid w:val="006067DC"/>
    <w:rsid w:val="00610F96"/>
    <w:rsid w:val="006139FB"/>
    <w:rsid w:val="00620776"/>
    <w:rsid w:val="00622482"/>
    <w:rsid w:val="00622C9E"/>
    <w:rsid w:val="00625A33"/>
    <w:rsid w:val="006563FB"/>
    <w:rsid w:val="00663A12"/>
    <w:rsid w:val="00677E25"/>
    <w:rsid w:val="00684B99"/>
    <w:rsid w:val="0069528B"/>
    <w:rsid w:val="006A22E2"/>
    <w:rsid w:val="006C15A8"/>
    <w:rsid w:val="006E67EF"/>
    <w:rsid w:val="006F314C"/>
    <w:rsid w:val="007118F8"/>
    <w:rsid w:val="0071248C"/>
    <w:rsid w:val="00713318"/>
    <w:rsid w:val="007252C7"/>
    <w:rsid w:val="00737C84"/>
    <w:rsid w:val="0075030D"/>
    <w:rsid w:val="007543D1"/>
    <w:rsid w:val="007814B8"/>
    <w:rsid w:val="007C07F4"/>
    <w:rsid w:val="007D025D"/>
    <w:rsid w:val="007D3653"/>
    <w:rsid w:val="007E4469"/>
    <w:rsid w:val="00803DB2"/>
    <w:rsid w:val="00807D4F"/>
    <w:rsid w:val="00812360"/>
    <w:rsid w:val="00813F17"/>
    <w:rsid w:val="008150DC"/>
    <w:rsid w:val="00827581"/>
    <w:rsid w:val="00830A90"/>
    <w:rsid w:val="0083500C"/>
    <w:rsid w:val="008378C8"/>
    <w:rsid w:val="008411CF"/>
    <w:rsid w:val="00847E56"/>
    <w:rsid w:val="00861F9E"/>
    <w:rsid w:val="008636A3"/>
    <w:rsid w:val="00877373"/>
    <w:rsid w:val="008B1B5B"/>
    <w:rsid w:val="008C2FFC"/>
    <w:rsid w:val="008D1BFB"/>
    <w:rsid w:val="008D2324"/>
    <w:rsid w:val="008D5DB4"/>
    <w:rsid w:val="008E349F"/>
    <w:rsid w:val="008E658B"/>
    <w:rsid w:val="00901CC0"/>
    <w:rsid w:val="0090414E"/>
    <w:rsid w:val="00904207"/>
    <w:rsid w:val="00907F0A"/>
    <w:rsid w:val="00932B48"/>
    <w:rsid w:val="00933324"/>
    <w:rsid w:val="009347E0"/>
    <w:rsid w:val="0094431A"/>
    <w:rsid w:val="00960A6D"/>
    <w:rsid w:val="009708C2"/>
    <w:rsid w:val="00973BA7"/>
    <w:rsid w:val="009845F1"/>
    <w:rsid w:val="009903DD"/>
    <w:rsid w:val="00995330"/>
    <w:rsid w:val="009A5CA0"/>
    <w:rsid w:val="009B3E08"/>
    <w:rsid w:val="009B516A"/>
    <w:rsid w:val="009D7043"/>
    <w:rsid w:val="009E0D60"/>
    <w:rsid w:val="00A42C49"/>
    <w:rsid w:val="00A51FBA"/>
    <w:rsid w:val="00A80DD6"/>
    <w:rsid w:val="00AE4255"/>
    <w:rsid w:val="00AF015F"/>
    <w:rsid w:val="00AF02AD"/>
    <w:rsid w:val="00B03562"/>
    <w:rsid w:val="00B04F76"/>
    <w:rsid w:val="00B12344"/>
    <w:rsid w:val="00B22D71"/>
    <w:rsid w:val="00B3089D"/>
    <w:rsid w:val="00B45EB2"/>
    <w:rsid w:val="00B63666"/>
    <w:rsid w:val="00B663CC"/>
    <w:rsid w:val="00B66D84"/>
    <w:rsid w:val="00B800A8"/>
    <w:rsid w:val="00B819E9"/>
    <w:rsid w:val="00B9289F"/>
    <w:rsid w:val="00BB017F"/>
    <w:rsid w:val="00BD2EFA"/>
    <w:rsid w:val="00BD3A3F"/>
    <w:rsid w:val="00BE425A"/>
    <w:rsid w:val="00BF37B3"/>
    <w:rsid w:val="00C164C3"/>
    <w:rsid w:val="00C348B7"/>
    <w:rsid w:val="00C777A7"/>
    <w:rsid w:val="00C91441"/>
    <w:rsid w:val="00CC0DD3"/>
    <w:rsid w:val="00CC3C23"/>
    <w:rsid w:val="00CD2BE9"/>
    <w:rsid w:val="00CF1747"/>
    <w:rsid w:val="00D02FE6"/>
    <w:rsid w:val="00D03FE8"/>
    <w:rsid w:val="00D219E5"/>
    <w:rsid w:val="00D57A89"/>
    <w:rsid w:val="00D6250D"/>
    <w:rsid w:val="00D66D02"/>
    <w:rsid w:val="00D71482"/>
    <w:rsid w:val="00D71D99"/>
    <w:rsid w:val="00D754F2"/>
    <w:rsid w:val="00D91991"/>
    <w:rsid w:val="00D92E78"/>
    <w:rsid w:val="00DB41C0"/>
    <w:rsid w:val="00DC4DB6"/>
    <w:rsid w:val="00DC4F15"/>
    <w:rsid w:val="00DD0563"/>
    <w:rsid w:val="00DD5981"/>
    <w:rsid w:val="00E00E43"/>
    <w:rsid w:val="00E01DBC"/>
    <w:rsid w:val="00E0507D"/>
    <w:rsid w:val="00E17D4B"/>
    <w:rsid w:val="00E21903"/>
    <w:rsid w:val="00E30F71"/>
    <w:rsid w:val="00E437E5"/>
    <w:rsid w:val="00E4693D"/>
    <w:rsid w:val="00E52FB8"/>
    <w:rsid w:val="00E55200"/>
    <w:rsid w:val="00E57C26"/>
    <w:rsid w:val="00E737C5"/>
    <w:rsid w:val="00E85C8D"/>
    <w:rsid w:val="00EB5659"/>
    <w:rsid w:val="00EB6A00"/>
    <w:rsid w:val="00EC0000"/>
    <w:rsid w:val="00EC6DBF"/>
    <w:rsid w:val="00ED2BA9"/>
    <w:rsid w:val="00ED2D3A"/>
    <w:rsid w:val="00ED4AD8"/>
    <w:rsid w:val="00F1040D"/>
    <w:rsid w:val="00F112F3"/>
    <w:rsid w:val="00F12A60"/>
    <w:rsid w:val="00F213EC"/>
    <w:rsid w:val="00F40037"/>
    <w:rsid w:val="00F453DA"/>
    <w:rsid w:val="00F50C3F"/>
    <w:rsid w:val="00F515B9"/>
    <w:rsid w:val="00F51E22"/>
    <w:rsid w:val="00F67B2E"/>
    <w:rsid w:val="00F87A4D"/>
    <w:rsid w:val="00F90BDF"/>
    <w:rsid w:val="00F9434F"/>
    <w:rsid w:val="00FA29D6"/>
    <w:rsid w:val="00FA52A1"/>
    <w:rsid w:val="00FB7BA4"/>
    <w:rsid w:val="00FC0D67"/>
    <w:rsid w:val="00FC79AC"/>
    <w:rsid w:val="00FD5BF4"/>
    <w:rsid w:val="00FE5406"/>
    <w:rsid w:val="00FE77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93F2"/>
  <w15:docId w15:val="{42A2698F-F6B1-4708-B720-250466AB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C2DFE"/>
    <w:rPr>
      <w:rFonts w:ascii="Tahoma" w:hAnsi="Tahoma" w:cs="Tahoma"/>
      <w:sz w:val="16"/>
      <w:szCs w:val="16"/>
    </w:rPr>
  </w:style>
  <w:style w:type="character" w:customStyle="1" w:styleId="BallontekstChar">
    <w:name w:val="Ballontekst Char"/>
    <w:basedOn w:val="Standaardalinea-lettertype"/>
    <w:link w:val="Ballontekst"/>
    <w:rsid w:val="004C2DFE"/>
    <w:rPr>
      <w:rFonts w:ascii="Tahoma" w:hAnsi="Tahoma" w:cs="Tahoma"/>
      <w:sz w:val="16"/>
      <w:szCs w:val="16"/>
      <w:lang w:val="nl-NL" w:eastAsia="nl-NL"/>
    </w:rPr>
  </w:style>
  <w:style w:type="paragraph" w:styleId="Lijstalinea">
    <w:name w:val="List Paragraph"/>
    <w:basedOn w:val="Standaard"/>
    <w:uiPriority w:val="34"/>
    <w:qFormat/>
    <w:rsid w:val="004C2DFE"/>
    <w:pPr>
      <w:ind w:left="720"/>
      <w:contextualSpacing/>
    </w:pPr>
  </w:style>
  <w:style w:type="table" w:styleId="Tabelraster">
    <w:name w:val="Table Grid"/>
    <w:basedOn w:val="Standaardtabel"/>
    <w:rsid w:val="004C2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4C2DFE"/>
    <w:pPr>
      <w:jc w:val="both"/>
    </w:pPr>
    <w:rPr>
      <w:rFonts w:ascii="Verdana" w:hAnsi="Verdana"/>
      <w:sz w:val="20"/>
      <w:szCs w:val="20"/>
    </w:rPr>
  </w:style>
  <w:style w:type="character" w:customStyle="1" w:styleId="VoetnoottekstChar">
    <w:name w:val="Voetnoottekst Char"/>
    <w:basedOn w:val="Standaardalinea-lettertype"/>
    <w:link w:val="Voetnoottekst"/>
    <w:rsid w:val="004C2DFE"/>
    <w:rPr>
      <w:rFonts w:ascii="Verdana" w:hAnsi="Verdana"/>
      <w:lang w:val="nl-NL" w:eastAsia="nl-NL"/>
    </w:rPr>
  </w:style>
  <w:style w:type="character" w:styleId="Voetnootmarkering">
    <w:name w:val="footnote reference"/>
    <w:basedOn w:val="Standaardalinea-lettertype"/>
    <w:unhideWhenUsed/>
    <w:rsid w:val="004C2DFE"/>
    <w:rPr>
      <w:vertAlign w:val="superscript"/>
    </w:rPr>
  </w:style>
  <w:style w:type="paragraph" w:customStyle="1" w:styleId="Nummering">
    <w:name w:val="Nummering"/>
    <w:basedOn w:val="Lijstalinea"/>
    <w:link w:val="NummeringChar"/>
    <w:qFormat/>
    <w:rsid w:val="00A80DD6"/>
    <w:pPr>
      <w:numPr>
        <w:numId w:val="10"/>
      </w:numPr>
      <w:spacing w:after="120"/>
      <w:contextualSpacing w:val="0"/>
      <w:jc w:val="both"/>
    </w:pPr>
    <w:rPr>
      <w:rFonts w:ascii="Verdana" w:hAnsi="Verdana"/>
      <w:sz w:val="20"/>
      <w:lang w:val="en-US"/>
    </w:rPr>
  </w:style>
  <w:style w:type="character" w:customStyle="1" w:styleId="NummeringChar">
    <w:name w:val="Nummering Char"/>
    <w:link w:val="Nummering"/>
    <w:rsid w:val="00A80DD6"/>
    <w:rPr>
      <w:rFonts w:ascii="Verdana" w:hAnsi="Verdana"/>
      <w:szCs w:val="24"/>
      <w:lang w:val="en-US" w:eastAsia="nl-NL"/>
    </w:rPr>
  </w:style>
  <w:style w:type="character" w:styleId="Verwijzingopmerking">
    <w:name w:val="annotation reference"/>
    <w:basedOn w:val="Standaardalinea-lettertype"/>
    <w:semiHidden/>
    <w:unhideWhenUsed/>
    <w:rsid w:val="00117A1E"/>
    <w:rPr>
      <w:sz w:val="16"/>
      <w:szCs w:val="16"/>
    </w:rPr>
  </w:style>
  <w:style w:type="paragraph" w:styleId="Tekstopmerking">
    <w:name w:val="annotation text"/>
    <w:basedOn w:val="Standaard"/>
    <w:link w:val="TekstopmerkingChar"/>
    <w:semiHidden/>
    <w:unhideWhenUsed/>
    <w:rsid w:val="00117A1E"/>
    <w:rPr>
      <w:sz w:val="20"/>
      <w:szCs w:val="20"/>
    </w:rPr>
  </w:style>
  <w:style w:type="character" w:customStyle="1" w:styleId="TekstopmerkingChar">
    <w:name w:val="Tekst opmerking Char"/>
    <w:basedOn w:val="Standaardalinea-lettertype"/>
    <w:link w:val="Tekstopmerking"/>
    <w:semiHidden/>
    <w:rsid w:val="00117A1E"/>
    <w:rPr>
      <w:lang w:val="nl-NL" w:eastAsia="nl-NL"/>
    </w:rPr>
  </w:style>
  <w:style w:type="paragraph" w:styleId="Onderwerpvanopmerking">
    <w:name w:val="annotation subject"/>
    <w:basedOn w:val="Tekstopmerking"/>
    <w:next w:val="Tekstopmerking"/>
    <w:link w:val="OnderwerpvanopmerkingChar"/>
    <w:semiHidden/>
    <w:unhideWhenUsed/>
    <w:rsid w:val="00117A1E"/>
    <w:rPr>
      <w:b/>
      <w:bCs/>
    </w:rPr>
  </w:style>
  <w:style w:type="character" w:customStyle="1" w:styleId="OnderwerpvanopmerkingChar">
    <w:name w:val="Onderwerp van opmerking Char"/>
    <w:basedOn w:val="TekstopmerkingChar"/>
    <w:link w:val="Onderwerpvanopmerking"/>
    <w:semiHidden/>
    <w:rsid w:val="00117A1E"/>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7282">
      <w:bodyDiv w:val="1"/>
      <w:marLeft w:val="0"/>
      <w:marRight w:val="0"/>
      <w:marTop w:val="0"/>
      <w:marBottom w:val="0"/>
      <w:divBdr>
        <w:top w:val="none" w:sz="0" w:space="0" w:color="auto"/>
        <w:left w:val="none" w:sz="0" w:space="0" w:color="auto"/>
        <w:bottom w:val="none" w:sz="0" w:space="0" w:color="auto"/>
        <w:right w:val="none" w:sz="0" w:space="0" w:color="auto"/>
      </w:divBdr>
    </w:div>
    <w:div w:id="161312521">
      <w:bodyDiv w:val="1"/>
      <w:marLeft w:val="0"/>
      <w:marRight w:val="0"/>
      <w:marTop w:val="0"/>
      <w:marBottom w:val="0"/>
      <w:divBdr>
        <w:top w:val="none" w:sz="0" w:space="0" w:color="auto"/>
        <w:left w:val="none" w:sz="0" w:space="0" w:color="auto"/>
        <w:bottom w:val="none" w:sz="0" w:space="0" w:color="auto"/>
        <w:right w:val="none" w:sz="0" w:space="0" w:color="auto"/>
      </w:divBdr>
    </w:div>
    <w:div w:id="221140798">
      <w:bodyDiv w:val="1"/>
      <w:marLeft w:val="0"/>
      <w:marRight w:val="0"/>
      <w:marTop w:val="0"/>
      <w:marBottom w:val="0"/>
      <w:divBdr>
        <w:top w:val="none" w:sz="0" w:space="0" w:color="auto"/>
        <w:left w:val="none" w:sz="0" w:space="0" w:color="auto"/>
        <w:bottom w:val="none" w:sz="0" w:space="0" w:color="auto"/>
        <w:right w:val="none" w:sz="0" w:space="0" w:color="auto"/>
      </w:divBdr>
    </w:div>
    <w:div w:id="362563641">
      <w:bodyDiv w:val="1"/>
      <w:marLeft w:val="0"/>
      <w:marRight w:val="0"/>
      <w:marTop w:val="0"/>
      <w:marBottom w:val="0"/>
      <w:divBdr>
        <w:top w:val="none" w:sz="0" w:space="0" w:color="auto"/>
        <w:left w:val="none" w:sz="0" w:space="0" w:color="auto"/>
        <w:bottom w:val="none" w:sz="0" w:space="0" w:color="auto"/>
        <w:right w:val="none" w:sz="0" w:space="0" w:color="auto"/>
      </w:divBdr>
    </w:div>
    <w:div w:id="606083416">
      <w:bodyDiv w:val="1"/>
      <w:marLeft w:val="0"/>
      <w:marRight w:val="0"/>
      <w:marTop w:val="0"/>
      <w:marBottom w:val="0"/>
      <w:divBdr>
        <w:top w:val="none" w:sz="0" w:space="0" w:color="auto"/>
        <w:left w:val="none" w:sz="0" w:space="0" w:color="auto"/>
        <w:bottom w:val="none" w:sz="0" w:space="0" w:color="auto"/>
        <w:right w:val="none" w:sz="0" w:space="0" w:color="auto"/>
      </w:divBdr>
    </w:div>
    <w:div w:id="798574258">
      <w:bodyDiv w:val="1"/>
      <w:marLeft w:val="0"/>
      <w:marRight w:val="0"/>
      <w:marTop w:val="0"/>
      <w:marBottom w:val="0"/>
      <w:divBdr>
        <w:top w:val="none" w:sz="0" w:space="0" w:color="auto"/>
        <w:left w:val="none" w:sz="0" w:space="0" w:color="auto"/>
        <w:bottom w:val="none" w:sz="0" w:space="0" w:color="auto"/>
        <w:right w:val="none" w:sz="0" w:space="0" w:color="auto"/>
      </w:divBdr>
    </w:div>
    <w:div w:id="832068159">
      <w:bodyDiv w:val="1"/>
      <w:marLeft w:val="0"/>
      <w:marRight w:val="0"/>
      <w:marTop w:val="0"/>
      <w:marBottom w:val="0"/>
      <w:divBdr>
        <w:top w:val="none" w:sz="0" w:space="0" w:color="auto"/>
        <w:left w:val="none" w:sz="0" w:space="0" w:color="auto"/>
        <w:bottom w:val="none" w:sz="0" w:space="0" w:color="auto"/>
        <w:right w:val="none" w:sz="0" w:space="0" w:color="auto"/>
      </w:divBdr>
    </w:div>
    <w:div w:id="872574544">
      <w:bodyDiv w:val="1"/>
      <w:marLeft w:val="0"/>
      <w:marRight w:val="0"/>
      <w:marTop w:val="0"/>
      <w:marBottom w:val="0"/>
      <w:divBdr>
        <w:top w:val="none" w:sz="0" w:space="0" w:color="auto"/>
        <w:left w:val="none" w:sz="0" w:space="0" w:color="auto"/>
        <w:bottom w:val="none" w:sz="0" w:space="0" w:color="auto"/>
        <w:right w:val="none" w:sz="0" w:space="0" w:color="auto"/>
      </w:divBdr>
    </w:div>
    <w:div w:id="883954026">
      <w:bodyDiv w:val="1"/>
      <w:marLeft w:val="0"/>
      <w:marRight w:val="0"/>
      <w:marTop w:val="0"/>
      <w:marBottom w:val="0"/>
      <w:divBdr>
        <w:top w:val="none" w:sz="0" w:space="0" w:color="auto"/>
        <w:left w:val="none" w:sz="0" w:space="0" w:color="auto"/>
        <w:bottom w:val="none" w:sz="0" w:space="0" w:color="auto"/>
        <w:right w:val="none" w:sz="0" w:space="0" w:color="auto"/>
      </w:divBdr>
    </w:div>
    <w:div w:id="887375223">
      <w:bodyDiv w:val="1"/>
      <w:marLeft w:val="0"/>
      <w:marRight w:val="0"/>
      <w:marTop w:val="0"/>
      <w:marBottom w:val="0"/>
      <w:divBdr>
        <w:top w:val="none" w:sz="0" w:space="0" w:color="auto"/>
        <w:left w:val="none" w:sz="0" w:space="0" w:color="auto"/>
        <w:bottom w:val="none" w:sz="0" w:space="0" w:color="auto"/>
        <w:right w:val="none" w:sz="0" w:space="0" w:color="auto"/>
      </w:divBdr>
    </w:div>
    <w:div w:id="893125585">
      <w:bodyDiv w:val="1"/>
      <w:marLeft w:val="0"/>
      <w:marRight w:val="0"/>
      <w:marTop w:val="0"/>
      <w:marBottom w:val="0"/>
      <w:divBdr>
        <w:top w:val="none" w:sz="0" w:space="0" w:color="auto"/>
        <w:left w:val="none" w:sz="0" w:space="0" w:color="auto"/>
        <w:bottom w:val="none" w:sz="0" w:space="0" w:color="auto"/>
        <w:right w:val="none" w:sz="0" w:space="0" w:color="auto"/>
      </w:divBdr>
    </w:div>
    <w:div w:id="928734493">
      <w:bodyDiv w:val="1"/>
      <w:marLeft w:val="0"/>
      <w:marRight w:val="0"/>
      <w:marTop w:val="0"/>
      <w:marBottom w:val="0"/>
      <w:divBdr>
        <w:top w:val="none" w:sz="0" w:space="0" w:color="auto"/>
        <w:left w:val="none" w:sz="0" w:space="0" w:color="auto"/>
        <w:bottom w:val="none" w:sz="0" w:space="0" w:color="auto"/>
        <w:right w:val="none" w:sz="0" w:space="0" w:color="auto"/>
      </w:divBdr>
    </w:div>
    <w:div w:id="994727476">
      <w:bodyDiv w:val="1"/>
      <w:marLeft w:val="0"/>
      <w:marRight w:val="0"/>
      <w:marTop w:val="0"/>
      <w:marBottom w:val="0"/>
      <w:divBdr>
        <w:top w:val="none" w:sz="0" w:space="0" w:color="auto"/>
        <w:left w:val="none" w:sz="0" w:space="0" w:color="auto"/>
        <w:bottom w:val="none" w:sz="0" w:space="0" w:color="auto"/>
        <w:right w:val="none" w:sz="0" w:space="0" w:color="auto"/>
      </w:divBdr>
    </w:div>
    <w:div w:id="1123309439">
      <w:bodyDiv w:val="1"/>
      <w:marLeft w:val="0"/>
      <w:marRight w:val="0"/>
      <w:marTop w:val="0"/>
      <w:marBottom w:val="0"/>
      <w:divBdr>
        <w:top w:val="none" w:sz="0" w:space="0" w:color="auto"/>
        <w:left w:val="none" w:sz="0" w:space="0" w:color="auto"/>
        <w:bottom w:val="none" w:sz="0" w:space="0" w:color="auto"/>
        <w:right w:val="none" w:sz="0" w:space="0" w:color="auto"/>
      </w:divBdr>
    </w:div>
    <w:div w:id="1760329148">
      <w:bodyDiv w:val="1"/>
      <w:marLeft w:val="0"/>
      <w:marRight w:val="0"/>
      <w:marTop w:val="0"/>
      <w:marBottom w:val="0"/>
      <w:divBdr>
        <w:top w:val="none" w:sz="0" w:space="0" w:color="auto"/>
        <w:left w:val="none" w:sz="0" w:space="0" w:color="auto"/>
        <w:bottom w:val="none" w:sz="0" w:space="0" w:color="auto"/>
        <w:right w:val="none" w:sz="0" w:space="0" w:color="auto"/>
      </w:divBdr>
    </w:div>
    <w:div w:id="1831871176">
      <w:bodyDiv w:val="1"/>
      <w:marLeft w:val="0"/>
      <w:marRight w:val="0"/>
      <w:marTop w:val="0"/>
      <w:marBottom w:val="0"/>
      <w:divBdr>
        <w:top w:val="none" w:sz="0" w:space="0" w:color="auto"/>
        <w:left w:val="none" w:sz="0" w:space="0" w:color="auto"/>
        <w:bottom w:val="none" w:sz="0" w:space="0" w:color="auto"/>
        <w:right w:val="none" w:sz="0" w:space="0" w:color="auto"/>
      </w:divBdr>
    </w:div>
    <w:div w:id="1860199403">
      <w:bodyDiv w:val="1"/>
      <w:marLeft w:val="0"/>
      <w:marRight w:val="0"/>
      <w:marTop w:val="0"/>
      <w:marBottom w:val="0"/>
      <w:divBdr>
        <w:top w:val="none" w:sz="0" w:space="0" w:color="auto"/>
        <w:left w:val="none" w:sz="0" w:space="0" w:color="auto"/>
        <w:bottom w:val="none" w:sz="0" w:space="0" w:color="auto"/>
        <w:right w:val="none" w:sz="0" w:space="0" w:color="auto"/>
      </w:divBdr>
    </w:div>
    <w:div w:id="1910849839">
      <w:bodyDiv w:val="1"/>
      <w:marLeft w:val="0"/>
      <w:marRight w:val="0"/>
      <w:marTop w:val="0"/>
      <w:marBottom w:val="0"/>
      <w:divBdr>
        <w:top w:val="none" w:sz="0" w:space="0" w:color="auto"/>
        <w:left w:val="none" w:sz="0" w:space="0" w:color="auto"/>
        <w:bottom w:val="none" w:sz="0" w:space="0" w:color="auto"/>
        <w:right w:val="none" w:sz="0" w:space="0" w:color="auto"/>
      </w:divBdr>
    </w:div>
    <w:div w:id="1920021517">
      <w:bodyDiv w:val="1"/>
      <w:marLeft w:val="0"/>
      <w:marRight w:val="0"/>
      <w:marTop w:val="0"/>
      <w:marBottom w:val="0"/>
      <w:divBdr>
        <w:top w:val="none" w:sz="0" w:space="0" w:color="auto"/>
        <w:left w:val="none" w:sz="0" w:space="0" w:color="auto"/>
        <w:bottom w:val="none" w:sz="0" w:space="0" w:color="auto"/>
        <w:right w:val="none" w:sz="0" w:space="0" w:color="auto"/>
      </w:divBdr>
    </w:div>
    <w:div w:id="1942301409">
      <w:bodyDiv w:val="1"/>
      <w:marLeft w:val="0"/>
      <w:marRight w:val="0"/>
      <w:marTop w:val="0"/>
      <w:marBottom w:val="0"/>
      <w:divBdr>
        <w:top w:val="none" w:sz="0" w:space="0" w:color="auto"/>
        <w:left w:val="none" w:sz="0" w:space="0" w:color="auto"/>
        <w:bottom w:val="none" w:sz="0" w:space="0" w:color="auto"/>
        <w:right w:val="none" w:sz="0" w:space="0" w:color="auto"/>
      </w:divBdr>
    </w:div>
    <w:div w:id="1953170417">
      <w:bodyDiv w:val="1"/>
      <w:marLeft w:val="0"/>
      <w:marRight w:val="0"/>
      <w:marTop w:val="0"/>
      <w:marBottom w:val="0"/>
      <w:divBdr>
        <w:top w:val="none" w:sz="0" w:space="0" w:color="auto"/>
        <w:left w:val="none" w:sz="0" w:space="0" w:color="auto"/>
        <w:bottom w:val="none" w:sz="0" w:space="0" w:color="auto"/>
        <w:right w:val="none" w:sz="0" w:space="0" w:color="auto"/>
      </w:divBdr>
    </w:div>
    <w:div w:id="2000377778">
      <w:bodyDiv w:val="1"/>
      <w:marLeft w:val="0"/>
      <w:marRight w:val="0"/>
      <w:marTop w:val="0"/>
      <w:marBottom w:val="0"/>
      <w:divBdr>
        <w:top w:val="none" w:sz="0" w:space="0" w:color="auto"/>
        <w:left w:val="none" w:sz="0" w:space="0" w:color="auto"/>
        <w:bottom w:val="none" w:sz="0" w:space="0" w:color="auto"/>
        <w:right w:val="none" w:sz="0" w:space="0" w:color="auto"/>
      </w:divBdr>
    </w:div>
    <w:div w:id="2054845320">
      <w:bodyDiv w:val="1"/>
      <w:marLeft w:val="0"/>
      <w:marRight w:val="0"/>
      <w:marTop w:val="0"/>
      <w:marBottom w:val="0"/>
      <w:divBdr>
        <w:top w:val="none" w:sz="0" w:space="0" w:color="auto"/>
        <w:left w:val="none" w:sz="0" w:space="0" w:color="auto"/>
        <w:bottom w:val="none" w:sz="0" w:space="0" w:color="auto"/>
        <w:right w:val="none" w:sz="0" w:space="0" w:color="auto"/>
      </w:divBdr>
    </w:div>
    <w:div w:id="208961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Algemeen"/>
          <w:gallery w:val="placeholder"/>
        </w:category>
        <w:types>
          <w:type w:val="bbPlcHdr"/>
        </w:types>
        <w:behaviors>
          <w:behavior w:val="content"/>
        </w:behaviors>
        <w:guid w:val="{B8730111-30AB-49F2-9285-8FE183573256}"/>
      </w:docPartPr>
      <w:docPartBody>
        <w:p w:rsidR="00C3444C" w:rsidRDefault="00026AA1">
          <w:r w:rsidRPr="003B4B36">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AA1"/>
    <w:rsid w:val="0001255A"/>
    <w:rsid w:val="00026AA1"/>
    <w:rsid w:val="00043564"/>
    <w:rsid w:val="000D31C9"/>
    <w:rsid w:val="001716AE"/>
    <w:rsid w:val="001B7621"/>
    <w:rsid w:val="002B651F"/>
    <w:rsid w:val="002D5A2D"/>
    <w:rsid w:val="00435C23"/>
    <w:rsid w:val="004E328D"/>
    <w:rsid w:val="00501956"/>
    <w:rsid w:val="005052D7"/>
    <w:rsid w:val="00596CF3"/>
    <w:rsid w:val="005B63E0"/>
    <w:rsid w:val="006C4507"/>
    <w:rsid w:val="007C4A40"/>
    <w:rsid w:val="007F13DE"/>
    <w:rsid w:val="00834B1A"/>
    <w:rsid w:val="00893DA8"/>
    <w:rsid w:val="008B230C"/>
    <w:rsid w:val="00986097"/>
    <w:rsid w:val="00AF3480"/>
    <w:rsid w:val="00AF3683"/>
    <w:rsid w:val="00C3444C"/>
    <w:rsid w:val="00C57917"/>
    <w:rsid w:val="00D31BEF"/>
    <w:rsid w:val="00DB1988"/>
    <w:rsid w:val="00DE5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93510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D5A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estandtype xmlns="03d5240a-782c-4048-8313-d01b5d6ab2a6" xsi:nil="true"/>
    <Documenttype xmlns="03d5240a-782c-4048-8313-d01b5d6ab2a6" xsi:nil="true"/>
    <Thema xmlns="03d5240a-782c-4048-8313-d01b5d6ab2a6" xsi:nil="true"/>
    <Platform xmlns="03d5240a-782c-4048-8313-d01b5d6ab2a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8" ma:contentTypeDescription="Een nieuw document maken." ma:contentTypeScope="" ma:versionID="2495589100e7c5692490fb94d3e2cba5">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5136179af053d76458bef8ff88b4662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2:Bestandtype" minOccurs="0"/>
                <xsd:element ref="ns2:Platform"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element ref="ns2:Thema"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Bestandtype" ma:index="10" nillable="true" ma:displayName="Bestandtype" ma:description="Type Document" ma:format="Dropdown" ma:internalName="Bestandtype">
      <xsd:simpleType>
        <xsd:restriction base="dms:Choice">
          <xsd:enumeration value="Handleiding"/>
          <xsd:enumeration value="Script"/>
          <xsd:enumeration value="Software"/>
          <xsd:enumeration value="SoftwarePatch"/>
          <xsd:enumeration value="Informatie"/>
          <xsd:enumeration value="Afbeelding"/>
          <xsd:enumeration value="Film"/>
        </xsd:restriction>
      </xsd:simpleType>
    </xsd:element>
    <xsd:element name="Platform" ma:index="11" nillable="true" ma:displayName="Platform" ma:description="Platform versie" ma:format="Dropdown" ma:internalName="Platform">
      <xsd:simpleType>
        <xsd:union memberTypes="dms:Text">
          <xsd:simpleType>
            <xsd:restriction base="dms:Choice">
              <xsd:enumeration value="Windows"/>
              <xsd:enumeration value="MAC"/>
              <xsd:enumeration value="iOS"/>
              <xsd:enumeration value="Android"/>
              <xsd:enumeration value="Meerdere"/>
              <xsd:enumeration value="NVT"/>
            </xsd:restriction>
          </xsd:simpleType>
        </xsd:un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ema" ma:index="22" nillable="true" ma:displayName="Thema" ma:format="Dropdown" ma:internalName="Thema">
      <xsd:simpleType>
        <xsd:restriction base="dms:Choice">
          <xsd:enumeration value="Regulier"/>
          <xsd:enumeration value="Relance"/>
          <xsd:enumeration value="Covid"/>
          <xsd:enumeration value="Vaccinatie"/>
          <xsd:enumeration value="Testing &amp; Tracing"/>
          <xsd:enumeration value="VIA-6"/>
        </xsd:restriction>
      </xsd:simpleType>
    </xsd:element>
    <xsd:element name="Documenttype" ma:index="23" nillable="true" ma:displayName="Documenttype" ma:description="Indeling documenttype voor Cel begroting" ma:format="Dropdown" ma:internalName="Documenttype">
      <xsd:simpleType>
        <xsd:restriction base="dms:Choice">
          <xsd:enumeration value="BA ontwerp"/>
          <xsd:enumeration value="BA definitief"/>
          <xsd:enumeration value="Adviesnota BA"/>
          <xsd:enumeration value="Afsprakennota"/>
          <xsd:enumeration value="Advies IF"/>
          <xsd:enumeration value="Advies BOBFO"/>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BBD3C6-1123-4035-8AAD-58D92255BA59}">
  <ds:schemaRefs>
    <ds:schemaRef ds:uri="http://schemas.microsoft.com/office/2006/metadata/properties"/>
    <ds:schemaRef ds:uri="http://schemas.microsoft.com/office/infopath/2007/PartnerControls"/>
    <ds:schemaRef ds:uri="03d5240a-782c-4048-8313-d01b5d6ab2a6"/>
  </ds:schemaRefs>
</ds:datastoreItem>
</file>

<file path=customXml/itemProps2.xml><?xml version="1.0" encoding="utf-8"?>
<ds:datastoreItem xmlns:ds="http://schemas.openxmlformats.org/officeDocument/2006/customXml" ds:itemID="{587DD0E0-47F2-40E7-8E44-DB662797F57C}">
  <ds:schemaRefs>
    <ds:schemaRef ds:uri="http://schemas.openxmlformats.org/officeDocument/2006/bibliography"/>
  </ds:schemaRefs>
</ds:datastoreItem>
</file>

<file path=customXml/itemProps3.xml><?xml version="1.0" encoding="utf-8"?>
<ds:datastoreItem xmlns:ds="http://schemas.openxmlformats.org/officeDocument/2006/customXml" ds:itemID="{D20323B3-9EBE-4CBD-AAEB-78EBEE14E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ECC5C-7A40-4356-BDCA-0A1F67907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SchrVr-antwoord8.dot</Template>
  <TotalTime>6</TotalTime>
  <Pages>3</Pages>
  <Words>975</Words>
  <Characters>5367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 Parlement</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4</cp:revision>
  <cp:lastPrinted>2014-08-26T13:40:00Z</cp:lastPrinted>
  <dcterms:created xsi:type="dcterms:W3CDTF">2022-02-24T13:16:00Z</dcterms:created>
  <dcterms:modified xsi:type="dcterms:W3CDTF">2022-03-04T15:25:00Z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d0ebefbd-9d77-49bc-a24e-1336f1a7a447</vt:lpwstr>
  </property>
  <property fmtid="{D5CDD505-2E9C-101B-9397-08002B2CF9AE}" pid="3" name="ContentTypeId">
    <vt:lpwstr>0x0101002E216F35AF2CB9468CD9A6F9808E74AF</vt:lpwstr>
  </property>
</Properties>
</file>