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33C0" w14:textId="30EFD8BC" w:rsidR="008B4A42" w:rsidRPr="00257A8A" w:rsidRDefault="00AA6C5E" w:rsidP="00257A8A">
      <w:pPr>
        <w:pStyle w:val="A-NaamMinister"/>
        <w:jc w:val="both"/>
        <w:rPr>
          <w:rFonts w:ascii="Verdana" w:hAnsi="Verdana"/>
          <w:sz w:val="20"/>
          <w:szCs w:val="20"/>
        </w:rPr>
      </w:pPr>
      <w:r w:rsidRPr="00257A8A">
        <w:rPr>
          <w:rFonts w:ascii="Verdana" w:hAnsi="Verdana"/>
          <w:sz w:val="20"/>
          <w:szCs w:val="20"/>
        </w:rPr>
        <w:t>matthias diependaele</w:t>
      </w:r>
    </w:p>
    <w:p w14:paraId="672A6659" w14:textId="1DBB8EB7" w:rsidR="000976E9" w:rsidRPr="00257A8A" w:rsidRDefault="00AA6C5E" w:rsidP="00257A8A">
      <w:pPr>
        <w:jc w:val="both"/>
        <w:rPr>
          <w:rFonts w:ascii="Verdana" w:hAnsi="Verdana"/>
          <w:smallCaps/>
          <w:sz w:val="20"/>
          <w:szCs w:val="20"/>
          <w:lang w:val="nl-BE"/>
        </w:rPr>
      </w:pPr>
      <w:r w:rsidRPr="00257A8A">
        <w:rPr>
          <w:rFonts w:ascii="Verdana" w:hAnsi="Verdana"/>
          <w:smallCaps/>
          <w:sz w:val="20"/>
          <w:szCs w:val="20"/>
          <w:lang w:val="nl-BE"/>
        </w:rPr>
        <w:t>vlaams minister van financiën en begroting, wonen en onroerend erfgoed</w:t>
      </w:r>
    </w:p>
    <w:p w14:paraId="5FC21FA3" w14:textId="77777777" w:rsidR="00444585" w:rsidRPr="00257A8A" w:rsidRDefault="00444585" w:rsidP="00257A8A">
      <w:pPr>
        <w:jc w:val="both"/>
        <w:rPr>
          <w:rFonts w:ascii="Verdana" w:hAnsi="Verdana"/>
          <w:sz w:val="20"/>
          <w:szCs w:val="20"/>
        </w:rPr>
      </w:pPr>
    </w:p>
    <w:p w14:paraId="0A37501D" w14:textId="77777777" w:rsidR="000976E9" w:rsidRPr="00257A8A" w:rsidRDefault="000976E9" w:rsidP="00257A8A">
      <w:pPr>
        <w:pStyle w:val="A-Lijn"/>
        <w:jc w:val="both"/>
        <w:rPr>
          <w:rFonts w:ascii="Verdana" w:hAnsi="Verdana"/>
          <w:sz w:val="20"/>
          <w:szCs w:val="20"/>
        </w:rPr>
      </w:pPr>
    </w:p>
    <w:p w14:paraId="5DAB6C7B" w14:textId="77777777" w:rsidR="000976E9" w:rsidRPr="00257A8A" w:rsidRDefault="000976E9" w:rsidP="00257A8A">
      <w:pPr>
        <w:pStyle w:val="A-Type"/>
        <w:jc w:val="both"/>
        <w:rPr>
          <w:rFonts w:ascii="Verdana" w:hAnsi="Verdana"/>
          <w:sz w:val="20"/>
          <w:szCs w:val="20"/>
        </w:rPr>
        <w:sectPr w:rsidR="000976E9" w:rsidRPr="00257A8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D69D94" w14:textId="77777777" w:rsidR="00210C07" w:rsidRPr="00257A8A" w:rsidRDefault="000976E9" w:rsidP="00257A8A">
      <w:pPr>
        <w:pStyle w:val="A-Type"/>
        <w:jc w:val="both"/>
        <w:rPr>
          <w:rFonts w:ascii="Verdana" w:hAnsi="Verdana"/>
          <w:sz w:val="20"/>
          <w:szCs w:val="20"/>
        </w:rPr>
        <w:sectPr w:rsidR="00210C07" w:rsidRPr="00257A8A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257A8A">
        <w:rPr>
          <w:rFonts w:ascii="Verdana" w:hAnsi="Verdana"/>
          <w:sz w:val="20"/>
          <w:szCs w:val="20"/>
        </w:rPr>
        <w:t xml:space="preserve">antwoord </w:t>
      </w:r>
    </w:p>
    <w:p w14:paraId="7CE2C0B7" w14:textId="5FA1AD37" w:rsidR="000976E9" w:rsidRPr="00257A8A" w:rsidRDefault="000976E9" w:rsidP="00257A8A">
      <w:pPr>
        <w:pStyle w:val="A-Type"/>
        <w:jc w:val="both"/>
        <w:rPr>
          <w:rFonts w:ascii="Verdana" w:hAnsi="Verdana"/>
          <w:b w:val="0"/>
          <w:smallCaps w:val="0"/>
          <w:sz w:val="20"/>
          <w:szCs w:val="20"/>
        </w:rPr>
      </w:pPr>
      <w:r w:rsidRPr="00257A8A">
        <w:rPr>
          <w:rFonts w:ascii="Verdana" w:hAnsi="Verdana"/>
          <w:b w:val="0"/>
          <w:smallCaps w:val="0"/>
          <w:sz w:val="20"/>
          <w:szCs w:val="20"/>
        </w:rPr>
        <w:t>op vraag nr.</w:t>
      </w:r>
      <w:r w:rsidRPr="00257A8A">
        <w:rPr>
          <w:rFonts w:ascii="Verdana" w:hAnsi="Verdana"/>
          <w:b w:val="0"/>
          <w:sz w:val="20"/>
          <w:szCs w:val="20"/>
        </w:rPr>
        <w:t xml:space="preserve"> </w:t>
      </w:r>
      <w:r w:rsidR="00A476BC" w:rsidRPr="00257A8A">
        <w:rPr>
          <w:rFonts w:ascii="Verdana" w:hAnsi="Verdana"/>
          <w:b w:val="0"/>
          <w:sz w:val="20"/>
          <w:szCs w:val="20"/>
        </w:rPr>
        <w:t>175</w:t>
      </w:r>
      <w:r w:rsidR="00A463E3" w:rsidRPr="00257A8A">
        <w:rPr>
          <w:rFonts w:ascii="Verdana" w:hAnsi="Verdana"/>
          <w:b w:val="0"/>
          <w:sz w:val="20"/>
          <w:szCs w:val="20"/>
        </w:rPr>
        <w:t xml:space="preserve"> </w:t>
      </w:r>
      <w:r w:rsidRPr="00257A8A">
        <w:rPr>
          <w:rFonts w:ascii="Verdana" w:hAnsi="Verdana"/>
          <w:b w:val="0"/>
          <w:smallCaps w:val="0"/>
          <w:sz w:val="20"/>
          <w:szCs w:val="20"/>
        </w:rPr>
        <w:t>van</w:t>
      </w:r>
      <w:r w:rsidRPr="00257A8A">
        <w:rPr>
          <w:rFonts w:ascii="Verdana" w:hAnsi="Verdana"/>
          <w:b w:val="0"/>
          <w:sz w:val="20"/>
          <w:szCs w:val="20"/>
        </w:rPr>
        <w:t xml:space="preserve"> </w:t>
      </w:r>
      <w:r w:rsidR="007B0132" w:rsidRPr="00257A8A">
        <w:rPr>
          <w:rFonts w:ascii="Verdana" w:hAnsi="Verdana"/>
          <w:b w:val="0"/>
          <w:smallCaps w:val="0"/>
          <w:sz w:val="20"/>
          <w:szCs w:val="20"/>
        </w:rPr>
        <w:t>26 januari 2023</w:t>
      </w:r>
    </w:p>
    <w:p w14:paraId="43AE4A33" w14:textId="1B91FAA7" w:rsidR="000976E9" w:rsidRPr="00257A8A" w:rsidRDefault="000976E9" w:rsidP="00257A8A">
      <w:pPr>
        <w:jc w:val="both"/>
        <w:rPr>
          <w:rFonts w:ascii="Verdana" w:hAnsi="Verdana"/>
          <w:smallCaps/>
          <w:sz w:val="20"/>
          <w:szCs w:val="20"/>
          <w:lang w:val="en-US"/>
        </w:rPr>
      </w:pPr>
      <w:r w:rsidRPr="00257A8A">
        <w:rPr>
          <w:rFonts w:ascii="Verdana" w:hAnsi="Verdana"/>
          <w:sz w:val="20"/>
          <w:szCs w:val="20"/>
          <w:lang w:val="en-US"/>
        </w:rPr>
        <w:t xml:space="preserve">van </w:t>
      </w:r>
      <w:proofErr w:type="spellStart"/>
      <w:r w:rsidR="002D71A1" w:rsidRPr="00257A8A">
        <w:rPr>
          <w:rFonts w:ascii="Verdana" w:hAnsi="Verdana"/>
          <w:b/>
          <w:bCs/>
          <w:smallCaps/>
          <w:sz w:val="20"/>
          <w:szCs w:val="20"/>
          <w:lang w:val="en-US"/>
        </w:rPr>
        <w:t>mercedes</w:t>
      </w:r>
      <w:proofErr w:type="spellEnd"/>
      <w:r w:rsidR="002D71A1" w:rsidRPr="00257A8A">
        <w:rPr>
          <w:rFonts w:ascii="Verdana" w:hAnsi="Verdana"/>
          <w:b/>
          <w:bCs/>
          <w:smallCaps/>
          <w:sz w:val="20"/>
          <w:szCs w:val="20"/>
          <w:lang w:val="en-US"/>
        </w:rPr>
        <w:t xml:space="preserve"> van </w:t>
      </w:r>
      <w:proofErr w:type="spellStart"/>
      <w:r w:rsidR="002D71A1" w:rsidRPr="00257A8A">
        <w:rPr>
          <w:rFonts w:ascii="Verdana" w:hAnsi="Verdana"/>
          <w:b/>
          <w:bCs/>
          <w:smallCaps/>
          <w:sz w:val="20"/>
          <w:szCs w:val="20"/>
          <w:lang w:val="en-US"/>
        </w:rPr>
        <w:t>volcem</w:t>
      </w:r>
      <w:proofErr w:type="spellEnd"/>
    </w:p>
    <w:p w14:paraId="02EB378F" w14:textId="77777777" w:rsidR="00326A58" w:rsidRPr="00257A8A" w:rsidRDefault="00326A58" w:rsidP="00257A8A">
      <w:pPr>
        <w:jc w:val="both"/>
        <w:rPr>
          <w:rFonts w:ascii="Verdana" w:hAnsi="Verdana"/>
          <w:sz w:val="20"/>
          <w:szCs w:val="20"/>
          <w:lang w:val="en-US"/>
        </w:rPr>
      </w:pPr>
    </w:p>
    <w:p w14:paraId="6A05A809" w14:textId="77777777" w:rsidR="000976E9" w:rsidRPr="00257A8A" w:rsidRDefault="000976E9" w:rsidP="00257A8A">
      <w:pPr>
        <w:pStyle w:val="A-Lijn"/>
        <w:jc w:val="both"/>
        <w:rPr>
          <w:rFonts w:ascii="Verdana" w:hAnsi="Verdana"/>
          <w:sz w:val="20"/>
          <w:szCs w:val="20"/>
          <w:lang w:val="en-US"/>
        </w:rPr>
      </w:pPr>
    </w:p>
    <w:p w14:paraId="41C8F396" w14:textId="77777777" w:rsidR="000976E9" w:rsidRPr="00257A8A" w:rsidRDefault="000976E9" w:rsidP="00257A8A">
      <w:pPr>
        <w:jc w:val="both"/>
        <w:rPr>
          <w:rFonts w:ascii="Verdana" w:hAnsi="Verdana"/>
          <w:sz w:val="20"/>
          <w:szCs w:val="20"/>
          <w:lang w:val="en-US"/>
        </w:rPr>
        <w:sectPr w:rsidR="000976E9" w:rsidRPr="00257A8A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A3D3EC" w14:textId="77777777" w:rsidR="00AE4255" w:rsidRPr="00257A8A" w:rsidRDefault="00AE4255" w:rsidP="00257A8A">
      <w:pPr>
        <w:jc w:val="both"/>
        <w:rPr>
          <w:rFonts w:ascii="Verdana" w:hAnsi="Verdana"/>
          <w:sz w:val="20"/>
          <w:szCs w:val="20"/>
        </w:rPr>
      </w:pPr>
    </w:p>
    <w:p w14:paraId="48113B50" w14:textId="576A934F" w:rsidR="00AE4255" w:rsidRPr="00257A8A" w:rsidRDefault="6C88E0CC" w:rsidP="00257A8A">
      <w:pPr>
        <w:numPr>
          <w:ilvl w:val="0"/>
          <w:numId w:val="6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257A8A">
        <w:rPr>
          <w:rFonts w:ascii="Verdana" w:hAnsi="Verdana"/>
          <w:sz w:val="20"/>
          <w:szCs w:val="20"/>
        </w:rPr>
        <w:t xml:space="preserve">Cijfers </w:t>
      </w:r>
      <w:r w:rsidR="00395822" w:rsidRPr="00257A8A">
        <w:rPr>
          <w:rFonts w:ascii="Verdana" w:hAnsi="Verdana"/>
          <w:sz w:val="20"/>
          <w:szCs w:val="20"/>
        </w:rPr>
        <w:t>inzake</w:t>
      </w:r>
      <w:r w:rsidRPr="00257A8A">
        <w:rPr>
          <w:rFonts w:ascii="Verdana" w:hAnsi="Verdana"/>
          <w:sz w:val="20"/>
          <w:szCs w:val="20"/>
        </w:rPr>
        <w:t xml:space="preserve"> het patrimonium en de huurders krijgen </w:t>
      </w:r>
      <w:r w:rsidR="00E91B56" w:rsidRPr="00257A8A">
        <w:rPr>
          <w:rFonts w:ascii="Verdana" w:hAnsi="Verdana"/>
          <w:sz w:val="20"/>
          <w:szCs w:val="20"/>
        </w:rPr>
        <w:t>op</w:t>
      </w:r>
      <w:r w:rsidRPr="00257A8A">
        <w:rPr>
          <w:rFonts w:ascii="Verdana" w:hAnsi="Verdana"/>
          <w:sz w:val="20"/>
          <w:szCs w:val="20"/>
        </w:rPr>
        <w:t xml:space="preserve"> </w:t>
      </w:r>
      <w:r w:rsidR="0011595A" w:rsidRPr="00257A8A">
        <w:rPr>
          <w:rFonts w:ascii="Verdana" w:hAnsi="Verdana"/>
          <w:sz w:val="20"/>
          <w:szCs w:val="20"/>
        </w:rPr>
        <w:t>28</w:t>
      </w:r>
      <w:r w:rsidRPr="00257A8A">
        <w:rPr>
          <w:rFonts w:ascii="Verdana" w:hAnsi="Verdana"/>
          <w:sz w:val="20"/>
          <w:szCs w:val="20"/>
        </w:rPr>
        <w:t>/0</w:t>
      </w:r>
      <w:r w:rsidR="0A074956" w:rsidRPr="00257A8A">
        <w:rPr>
          <w:rFonts w:ascii="Verdana" w:hAnsi="Verdana"/>
          <w:sz w:val="20"/>
          <w:szCs w:val="20"/>
        </w:rPr>
        <w:t>4</w:t>
      </w:r>
      <w:r w:rsidRPr="00257A8A">
        <w:rPr>
          <w:rFonts w:ascii="Verdana" w:hAnsi="Verdana"/>
          <w:sz w:val="20"/>
          <w:szCs w:val="20"/>
        </w:rPr>
        <w:t xml:space="preserve">/2023 een update. Cijfers </w:t>
      </w:r>
      <w:r w:rsidR="003C56FA" w:rsidRPr="00257A8A">
        <w:rPr>
          <w:rFonts w:ascii="Verdana" w:hAnsi="Verdana"/>
          <w:sz w:val="20"/>
          <w:szCs w:val="20"/>
        </w:rPr>
        <w:t>betreffende</w:t>
      </w:r>
      <w:r w:rsidRPr="00257A8A">
        <w:rPr>
          <w:rFonts w:ascii="Verdana" w:hAnsi="Verdana"/>
          <w:sz w:val="20"/>
          <w:szCs w:val="20"/>
        </w:rPr>
        <w:t xml:space="preserve"> kandidaat-huurders krijgen </w:t>
      </w:r>
      <w:r w:rsidR="00E91B56" w:rsidRPr="00257A8A">
        <w:rPr>
          <w:rFonts w:ascii="Verdana" w:hAnsi="Verdana"/>
          <w:sz w:val="20"/>
          <w:szCs w:val="20"/>
        </w:rPr>
        <w:t>op</w:t>
      </w:r>
      <w:r w:rsidRPr="00257A8A">
        <w:rPr>
          <w:rFonts w:ascii="Verdana" w:hAnsi="Verdana"/>
          <w:sz w:val="20"/>
          <w:szCs w:val="20"/>
        </w:rPr>
        <w:t xml:space="preserve"> 30/06/2023 een update.</w:t>
      </w:r>
    </w:p>
    <w:p w14:paraId="0D0B940D" w14:textId="77777777" w:rsidR="00AE4255" w:rsidRPr="00257A8A" w:rsidRDefault="00AE4255" w:rsidP="00257A8A">
      <w:pPr>
        <w:jc w:val="both"/>
        <w:rPr>
          <w:rFonts w:ascii="Verdana" w:hAnsi="Verdana"/>
          <w:sz w:val="20"/>
          <w:szCs w:val="20"/>
        </w:rPr>
      </w:pPr>
    </w:p>
    <w:p w14:paraId="4C7BDFCE" w14:textId="5119BBDD" w:rsidR="0011595A" w:rsidRPr="00257A8A" w:rsidRDefault="36A7FC9B" w:rsidP="00257A8A">
      <w:pPr>
        <w:numPr>
          <w:ilvl w:val="0"/>
          <w:numId w:val="6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257A8A">
        <w:rPr>
          <w:rFonts w:ascii="Verdana" w:hAnsi="Verdana"/>
          <w:sz w:val="20"/>
          <w:szCs w:val="20"/>
        </w:rPr>
        <w:t>U kan de gevraagde</w:t>
      </w:r>
      <w:r w:rsidR="068F5C90" w:rsidRPr="00257A8A">
        <w:rPr>
          <w:rFonts w:ascii="Verdana" w:hAnsi="Verdana"/>
          <w:sz w:val="20"/>
          <w:szCs w:val="20"/>
        </w:rPr>
        <w:t>, beschikbare</w:t>
      </w:r>
      <w:r w:rsidRPr="00257A8A">
        <w:rPr>
          <w:rFonts w:ascii="Verdana" w:hAnsi="Verdana"/>
          <w:sz w:val="20"/>
          <w:szCs w:val="20"/>
        </w:rPr>
        <w:t xml:space="preserve"> cijfers terugvinden in bijlage 1. </w:t>
      </w:r>
      <w:r w:rsidR="2000830C" w:rsidRPr="00257A8A">
        <w:rPr>
          <w:rFonts w:ascii="Verdana" w:hAnsi="Verdana"/>
          <w:sz w:val="20"/>
          <w:szCs w:val="20"/>
        </w:rPr>
        <w:t>Voorlopig zijn de cijfers van 2021 de meest recente cijfers. Gegevens</w:t>
      </w:r>
      <w:r w:rsidR="00BF3909" w:rsidRPr="00257A8A">
        <w:rPr>
          <w:rFonts w:ascii="Verdana" w:hAnsi="Verdana"/>
          <w:sz w:val="20"/>
          <w:szCs w:val="20"/>
        </w:rPr>
        <w:t xml:space="preserve"> inzake </w:t>
      </w:r>
      <w:r w:rsidR="2000830C" w:rsidRPr="00257A8A">
        <w:rPr>
          <w:rFonts w:ascii="Verdana" w:hAnsi="Verdana"/>
          <w:sz w:val="20"/>
          <w:szCs w:val="20"/>
        </w:rPr>
        <w:t xml:space="preserve">tewerkstelling zijn niet beschikbaar. </w:t>
      </w:r>
      <w:r w:rsidR="04ABE7CC" w:rsidRPr="00257A8A">
        <w:rPr>
          <w:rFonts w:ascii="Verdana" w:hAnsi="Verdana"/>
          <w:sz w:val="20"/>
          <w:szCs w:val="20"/>
        </w:rPr>
        <w:t>Er wordt bekeken hoe en wanneer we dit in de toekomst beschikbaar kunnen maken.</w:t>
      </w:r>
    </w:p>
    <w:p w14:paraId="2A8297AC" w14:textId="5E6D13DF" w:rsidR="36A7FC9B" w:rsidRPr="00257A8A" w:rsidRDefault="36A7FC9B" w:rsidP="00257A8A">
      <w:pPr>
        <w:jc w:val="both"/>
        <w:rPr>
          <w:rFonts w:ascii="Verdana" w:hAnsi="Verdana"/>
          <w:sz w:val="20"/>
          <w:szCs w:val="20"/>
        </w:rPr>
      </w:pPr>
    </w:p>
    <w:p w14:paraId="455AF8C5" w14:textId="4427E892" w:rsidR="1301BC8A" w:rsidRPr="00257A8A" w:rsidRDefault="1301BC8A" w:rsidP="00257A8A">
      <w:pPr>
        <w:numPr>
          <w:ilvl w:val="0"/>
          <w:numId w:val="6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257A8A">
        <w:rPr>
          <w:rFonts w:ascii="Verdana" w:hAnsi="Verdana"/>
          <w:sz w:val="20"/>
          <w:szCs w:val="20"/>
        </w:rPr>
        <w:t>U kan de beschikbare, gevraagde cijfers in</w:t>
      </w:r>
      <w:r w:rsidR="00E63510" w:rsidRPr="00257A8A">
        <w:rPr>
          <w:rFonts w:ascii="Verdana" w:hAnsi="Verdana"/>
          <w:sz w:val="20"/>
          <w:szCs w:val="20"/>
        </w:rPr>
        <w:t xml:space="preserve"> bijlage 2 </w:t>
      </w:r>
      <w:r w:rsidRPr="00257A8A">
        <w:rPr>
          <w:rFonts w:ascii="Verdana" w:hAnsi="Verdana"/>
          <w:sz w:val="20"/>
          <w:szCs w:val="20"/>
        </w:rPr>
        <w:t xml:space="preserve">terugvinden. Gegevens </w:t>
      </w:r>
      <w:r w:rsidR="00FE7BE7" w:rsidRPr="00257A8A">
        <w:rPr>
          <w:rFonts w:ascii="Verdana" w:hAnsi="Verdana"/>
          <w:sz w:val="20"/>
          <w:szCs w:val="20"/>
        </w:rPr>
        <w:t>inzake</w:t>
      </w:r>
      <w:r w:rsidRPr="00257A8A">
        <w:rPr>
          <w:rFonts w:ascii="Verdana" w:hAnsi="Verdana"/>
          <w:sz w:val="20"/>
          <w:szCs w:val="20"/>
        </w:rPr>
        <w:t xml:space="preserve"> de inkomensbron</w:t>
      </w:r>
      <w:r w:rsidR="7C34ED63" w:rsidRPr="00257A8A">
        <w:rPr>
          <w:rFonts w:ascii="Verdana" w:hAnsi="Verdana"/>
          <w:sz w:val="20"/>
          <w:szCs w:val="20"/>
        </w:rPr>
        <w:t xml:space="preserve"> (pensioenuitkering)</w:t>
      </w:r>
      <w:r w:rsidRPr="00257A8A">
        <w:rPr>
          <w:rFonts w:ascii="Verdana" w:hAnsi="Verdana"/>
          <w:sz w:val="20"/>
          <w:szCs w:val="20"/>
        </w:rPr>
        <w:t xml:space="preserve"> zijn niet beschikbaar. Bijgevolg worden de huurders met leeftijd 65+ weerge</w:t>
      </w:r>
      <w:r w:rsidR="660B347C" w:rsidRPr="00257A8A">
        <w:rPr>
          <w:rFonts w:ascii="Verdana" w:hAnsi="Verdana"/>
          <w:sz w:val="20"/>
          <w:szCs w:val="20"/>
        </w:rPr>
        <w:t>geven.</w:t>
      </w:r>
    </w:p>
    <w:p w14:paraId="1BBE812E" w14:textId="77777777" w:rsidR="00A45B5B" w:rsidRPr="00257A8A" w:rsidRDefault="00A45B5B" w:rsidP="00257A8A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</w:p>
    <w:p w14:paraId="3A393DA8" w14:textId="066F804B" w:rsidR="00A45B5B" w:rsidRPr="00257A8A" w:rsidRDefault="00FE19A5" w:rsidP="00257A8A">
      <w:pPr>
        <w:tabs>
          <w:tab w:val="left" w:pos="284"/>
        </w:tabs>
        <w:ind w:left="567" w:hanging="567"/>
        <w:jc w:val="both"/>
        <w:rPr>
          <w:rFonts w:ascii="Verdana" w:hAnsi="Verdana"/>
          <w:sz w:val="20"/>
          <w:szCs w:val="20"/>
        </w:rPr>
      </w:pPr>
      <w:r w:rsidRPr="00257A8A">
        <w:rPr>
          <w:rFonts w:ascii="Verdana" w:hAnsi="Verdana"/>
          <w:sz w:val="20"/>
          <w:szCs w:val="20"/>
        </w:rPr>
        <w:t>4.</w:t>
      </w:r>
      <w:r w:rsidR="00A45B5B" w:rsidRPr="00257A8A">
        <w:rPr>
          <w:rFonts w:ascii="Verdana" w:hAnsi="Verdana"/>
          <w:sz w:val="20"/>
          <w:szCs w:val="20"/>
        </w:rPr>
        <w:tab/>
        <w:t>a)</w:t>
      </w:r>
      <w:r w:rsidR="00A45B5B" w:rsidRPr="00257A8A">
        <w:rPr>
          <w:rFonts w:ascii="Verdana" w:hAnsi="Verdana"/>
          <w:sz w:val="20"/>
          <w:szCs w:val="20"/>
        </w:rPr>
        <w:tab/>
      </w:r>
      <w:r w:rsidR="5F8D6A56" w:rsidRPr="00257A8A">
        <w:rPr>
          <w:rFonts w:ascii="Verdana" w:hAnsi="Verdana"/>
          <w:sz w:val="20"/>
          <w:szCs w:val="20"/>
        </w:rPr>
        <w:t>In 2021 waren er 35.169 referentiehuurders met een handicap.</w:t>
      </w:r>
    </w:p>
    <w:p w14:paraId="7E996B2C" w14:textId="77777777" w:rsidR="00257A8A" w:rsidRPr="00257A8A" w:rsidRDefault="00257A8A" w:rsidP="00257A8A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</w:p>
    <w:p w14:paraId="10DA9520" w14:textId="77777777" w:rsidR="00A45B5B" w:rsidRPr="00257A8A" w:rsidRDefault="00A45B5B" w:rsidP="00257A8A">
      <w:pPr>
        <w:ind w:left="568" w:hanging="284"/>
        <w:jc w:val="both"/>
        <w:rPr>
          <w:rFonts w:ascii="Verdana" w:hAnsi="Verdana"/>
          <w:sz w:val="20"/>
          <w:szCs w:val="20"/>
        </w:rPr>
      </w:pPr>
      <w:r w:rsidRPr="00257A8A">
        <w:rPr>
          <w:rFonts w:ascii="Verdana" w:hAnsi="Verdana"/>
          <w:sz w:val="20"/>
          <w:szCs w:val="20"/>
        </w:rPr>
        <w:t>b)</w:t>
      </w:r>
      <w:r w:rsidRPr="00257A8A">
        <w:rPr>
          <w:rFonts w:ascii="Verdana" w:hAnsi="Verdana"/>
          <w:sz w:val="20"/>
          <w:szCs w:val="20"/>
        </w:rPr>
        <w:tab/>
      </w:r>
      <w:r w:rsidR="55D363E3" w:rsidRPr="00257A8A">
        <w:rPr>
          <w:rFonts w:ascii="Verdana" w:hAnsi="Verdana"/>
          <w:sz w:val="20"/>
          <w:szCs w:val="20"/>
        </w:rPr>
        <w:t>U kan de gevraagde gegevens in onderstaande tabel terugvinden.</w:t>
      </w:r>
    </w:p>
    <w:p w14:paraId="43091BB4" w14:textId="127FE619" w:rsidR="55D363E3" w:rsidRPr="00257A8A" w:rsidRDefault="55D363E3" w:rsidP="00257A8A">
      <w:pPr>
        <w:ind w:left="567" w:hanging="283"/>
        <w:jc w:val="both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Ind w:w="142" w:type="dxa"/>
        <w:tblLayout w:type="fixed"/>
        <w:tblLook w:val="06A0" w:firstRow="1" w:lastRow="0" w:firstColumn="1" w:lastColumn="0" w:noHBand="1" w:noVBand="1"/>
      </w:tblPr>
      <w:tblGrid>
        <w:gridCol w:w="2552"/>
        <w:gridCol w:w="1134"/>
        <w:gridCol w:w="1134"/>
        <w:gridCol w:w="1134"/>
        <w:gridCol w:w="1134"/>
      </w:tblGrid>
      <w:tr w:rsidR="00F0772D" w:rsidRPr="00257A8A" w14:paraId="7480805B" w14:textId="77777777" w:rsidTr="00F0772D">
        <w:trPr>
          <w:cantSplit/>
          <w:trHeight w:hRule="exact" w:val="284"/>
        </w:trPr>
        <w:tc>
          <w:tcPr>
            <w:tcW w:w="25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14:paraId="67429F66" w14:textId="2E2C34CE" w:rsidR="00F0772D" w:rsidRPr="00257A8A" w:rsidRDefault="00F0772D" w:rsidP="00257A8A">
            <w:pPr>
              <w:rPr>
                <w:rFonts w:ascii="Verdana" w:eastAsia="Calibri" w:hAnsi="Verdana" w:cs="Calibri"/>
                <w:b/>
                <w:bCs/>
                <w:color w:val="000000" w:themeColor="text1"/>
                <w:sz w:val="20"/>
                <w:szCs w:val="20"/>
              </w:rPr>
            </w:pPr>
            <w:r w:rsidRPr="00257A8A">
              <w:rPr>
                <w:rFonts w:ascii="Verdana" w:eastAsia="Calibri" w:hAnsi="Verdana" w:cs="Calibri"/>
                <w:b/>
                <w:bCs/>
                <w:color w:val="000000" w:themeColor="text1"/>
                <w:sz w:val="20"/>
                <w:szCs w:val="20"/>
              </w:rPr>
              <w:t>Aantal toewijzingen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14:paraId="015E5ACF" w14:textId="77777777" w:rsidR="00F0772D" w:rsidRPr="00257A8A" w:rsidRDefault="00F0772D" w:rsidP="00257A8A">
            <w:pPr>
              <w:jc w:val="center"/>
              <w:rPr>
                <w:rFonts w:ascii="Verdana" w:eastAsia="Calibri" w:hAnsi="Verdana" w:cs="Calibri"/>
                <w:b/>
                <w:bCs/>
                <w:color w:val="000000" w:themeColor="text1"/>
                <w:sz w:val="20"/>
                <w:szCs w:val="20"/>
              </w:rPr>
            </w:pPr>
            <w:r w:rsidRPr="00257A8A">
              <w:rPr>
                <w:rFonts w:ascii="Verdana" w:eastAsia="Calibri" w:hAnsi="Verdana" w:cs="Calibri"/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  <w:p w14:paraId="7C95A195" w14:textId="29283E42" w:rsidR="00F0772D" w:rsidRPr="00257A8A" w:rsidRDefault="00F0772D" w:rsidP="00257A8A">
            <w:pPr>
              <w:jc w:val="center"/>
              <w:rPr>
                <w:rFonts w:ascii="Verdana" w:eastAsia="Calibri" w:hAnsi="Verdana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14:paraId="1CFDFBC4" w14:textId="4C76288F" w:rsidR="00F0772D" w:rsidRPr="00257A8A" w:rsidRDefault="00F0772D" w:rsidP="00257A8A">
            <w:pPr>
              <w:jc w:val="center"/>
              <w:rPr>
                <w:rFonts w:ascii="Verdana" w:eastAsia="Calibri" w:hAnsi="Verdana" w:cs="Calibri"/>
                <w:b/>
                <w:bCs/>
                <w:color w:val="000000" w:themeColor="text1"/>
                <w:sz w:val="20"/>
                <w:szCs w:val="20"/>
              </w:rPr>
            </w:pPr>
            <w:r w:rsidRPr="00257A8A">
              <w:rPr>
                <w:rFonts w:ascii="Verdana" w:eastAsia="Calibri" w:hAnsi="Verdana" w:cs="Calibri"/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450F7B3" w:rsidRPr="00257A8A" w14:paraId="7720CE33" w14:textId="77777777" w:rsidTr="00F0772D">
        <w:trPr>
          <w:cantSplit/>
          <w:trHeight w:hRule="exact" w:val="284"/>
        </w:trPr>
        <w:tc>
          <w:tcPr>
            <w:tcW w:w="2552" w:type="dxa"/>
            <w:tcBorders>
              <w:top w:val="single" w:sz="4" w:space="0" w:color="9BC2E6"/>
              <w:left w:val="nil"/>
              <w:bottom w:val="nil"/>
              <w:right w:val="nil"/>
            </w:tcBorders>
          </w:tcPr>
          <w:p w14:paraId="603ECC55" w14:textId="2DFAE9D2" w:rsidR="0450F7B3" w:rsidRPr="00257A8A" w:rsidRDefault="0450F7B3" w:rsidP="00257A8A">
            <w:pPr>
              <w:rPr>
                <w:rFonts w:ascii="Verdana" w:hAnsi="Verdana"/>
                <w:sz w:val="20"/>
                <w:szCs w:val="20"/>
              </w:rPr>
            </w:pPr>
            <w:r w:rsidRPr="00257A8A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>Geen handicap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nil"/>
              <w:right w:val="nil"/>
            </w:tcBorders>
            <w:vAlign w:val="center"/>
          </w:tcPr>
          <w:p w14:paraId="25B70BD3" w14:textId="419F5505" w:rsidR="0450F7B3" w:rsidRPr="00257A8A" w:rsidRDefault="0450F7B3" w:rsidP="00257A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7A8A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>8084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nil"/>
              <w:right w:val="nil"/>
            </w:tcBorders>
            <w:vAlign w:val="center"/>
          </w:tcPr>
          <w:p w14:paraId="40919DCE" w14:textId="6097E5B2" w:rsidR="0450F7B3" w:rsidRPr="00257A8A" w:rsidRDefault="0450F7B3" w:rsidP="00257A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7A8A">
              <w:rPr>
                <w:rFonts w:ascii="Verdana" w:eastAsia="Calibri" w:hAnsi="Verdana" w:cs="Calibri"/>
                <w:i/>
                <w:iCs/>
                <w:color w:val="000000" w:themeColor="text1"/>
                <w:sz w:val="20"/>
                <w:szCs w:val="20"/>
              </w:rPr>
              <w:t>79,98%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nil"/>
              <w:right w:val="nil"/>
            </w:tcBorders>
            <w:vAlign w:val="center"/>
          </w:tcPr>
          <w:p w14:paraId="243F94D4" w14:textId="12E894AB" w:rsidR="0450F7B3" w:rsidRPr="00257A8A" w:rsidRDefault="0450F7B3" w:rsidP="00257A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7A8A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>9078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nil"/>
              <w:right w:val="nil"/>
            </w:tcBorders>
            <w:vAlign w:val="center"/>
          </w:tcPr>
          <w:p w14:paraId="1EFD2A4A" w14:textId="2E0AEFE9" w:rsidR="0450F7B3" w:rsidRPr="00257A8A" w:rsidRDefault="0450F7B3" w:rsidP="00257A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7A8A">
              <w:rPr>
                <w:rFonts w:ascii="Verdana" w:eastAsia="Calibri" w:hAnsi="Verdana" w:cs="Calibri"/>
                <w:i/>
                <w:iCs/>
                <w:color w:val="000000" w:themeColor="text1"/>
                <w:sz w:val="20"/>
                <w:szCs w:val="20"/>
              </w:rPr>
              <w:t>80,49%</w:t>
            </w:r>
          </w:p>
        </w:tc>
      </w:tr>
      <w:tr w:rsidR="0450F7B3" w:rsidRPr="00257A8A" w14:paraId="2A119154" w14:textId="77777777" w:rsidTr="00F0772D">
        <w:trPr>
          <w:cantSplit/>
          <w:trHeight w:hRule="exact"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4C5483D" w14:textId="27758D16" w:rsidR="0450F7B3" w:rsidRPr="00257A8A" w:rsidRDefault="0450F7B3" w:rsidP="00257A8A">
            <w:pPr>
              <w:rPr>
                <w:rFonts w:ascii="Verdana" w:hAnsi="Verdana"/>
                <w:sz w:val="20"/>
                <w:szCs w:val="20"/>
              </w:rPr>
            </w:pPr>
            <w:r w:rsidRPr="00257A8A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>Handicap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68C74" w14:textId="544AFA76" w:rsidR="0450F7B3" w:rsidRPr="00257A8A" w:rsidRDefault="0450F7B3" w:rsidP="00257A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7A8A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>2.024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07B03" w14:textId="46165295" w:rsidR="0450F7B3" w:rsidRPr="00257A8A" w:rsidRDefault="0450F7B3" w:rsidP="00257A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7A8A">
              <w:rPr>
                <w:rFonts w:ascii="Verdana" w:eastAsia="Calibri" w:hAnsi="Verdana" w:cs="Calibri"/>
                <w:i/>
                <w:iCs/>
                <w:color w:val="000000" w:themeColor="text1"/>
                <w:sz w:val="20"/>
                <w:szCs w:val="20"/>
              </w:rPr>
              <w:t>20,02%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1F7DD" w14:textId="19EDEE9D" w:rsidR="0450F7B3" w:rsidRPr="00257A8A" w:rsidRDefault="0450F7B3" w:rsidP="00257A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7A8A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>2.200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F2E27" w14:textId="48A80418" w:rsidR="0450F7B3" w:rsidRPr="00257A8A" w:rsidRDefault="0450F7B3" w:rsidP="00257A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7A8A">
              <w:rPr>
                <w:rFonts w:ascii="Verdana" w:eastAsia="Calibri" w:hAnsi="Verdana" w:cs="Calibri"/>
                <w:i/>
                <w:iCs/>
                <w:color w:val="000000" w:themeColor="text1"/>
                <w:sz w:val="20"/>
                <w:szCs w:val="20"/>
              </w:rPr>
              <w:t>19,51%</w:t>
            </w:r>
          </w:p>
        </w:tc>
      </w:tr>
      <w:tr w:rsidR="0450F7B3" w:rsidRPr="00257A8A" w14:paraId="322E1DDE" w14:textId="77777777" w:rsidTr="00F0772D">
        <w:trPr>
          <w:cantSplit/>
          <w:trHeight w:hRule="exact" w:val="284"/>
        </w:trPr>
        <w:tc>
          <w:tcPr>
            <w:tcW w:w="2552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DDEBF7"/>
          </w:tcPr>
          <w:p w14:paraId="5CA7EEB3" w14:textId="52C3D6A2" w:rsidR="0450F7B3" w:rsidRPr="00257A8A" w:rsidRDefault="0450F7B3" w:rsidP="00257A8A">
            <w:pPr>
              <w:rPr>
                <w:rFonts w:ascii="Verdana" w:hAnsi="Verdana"/>
                <w:sz w:val="20"/>
                <w:szCs w:val="20"/>
              </w:rPr>
            </w:pPr>
            <w:r w:rsidRPr="00257A8A">
              <w:rPr>
                <w:rFonts w:ascii="Verdana" w:eastAsia="Calibri" w:hAnsi="Verdana" w:cs="Calibri"/>
                <w:b/>
                <w:bCs/>
                <w:color w:val="000000" w:themeColor="text1"/>
                <w:sz w:val="20"/>
                <w:szCs w:val="20"/>
              </w:rPr>
              <w:t>Eindtotaal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DDEBF7"/>
            <w:vAlign w:val="center"/>
          </w:tcPr>
          <w:p w14:paraId="494CDD6C" w14:textId="39FC7DE0" w:rsidR="0450F7B3" w:rsidRPr="00257A8A" w:rsidRDefault="0450F7B3" w:rsidP="00257A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7A8A">
              <w:rPr>
                <w:rFonts w:ascii="Verdana" w:eastAsia="Calibri" w:hAnsi="Verdana" w:cs="Calibri"/>
                <w:b/>
                <w:bCs/>
                <w:color w:val="000000" w:themeColor="text1"/>
                <w:sz w:val="20"/>
                <w:szCs w:val="20"/>
              </w:rPr>
              <w:t>10.108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DDEBF7"/>
            <w:vAlign w:val="center"/>
          </w:tcPr>
          <w:p w14:paraId="3C11A5AB" w14:textId="5C2052A9" w:rsidR="0450F7B3" w:rsidRPr="00257A8A" w:rsidRDefault="0450F7B3" w:rsidP="00257A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7A8A">
              <w:rPr>
                <w:rFonts w:ascii="Verdana" w:eastAsia="Calibri" w:hAnsi="Verdana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DDEBF7"/>
            <w:vAlign w:val="center"/>
          </w:tcPr>
          <w:p w14:paraId="7DB5FD66" w14:textId="276DC68F" w:rsidR="0450F7B3" w:rsidRPr="00257A8A" w:rsidRDefault="0450F7B3" w:rsidP="00257A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7A8A">
              <w:rPr>
                <w:rFonts w:ascii="Verdana" w:eastAsia="Calibri" w:hAnsi="Verdana" w:cs="Calibri"/>
                <w:b/>
                <w:bCs/>
                <w:color w:val="000000" w:themeColor="text1"/>
                <w:sz w:val="20"/>
                <w:szCs w:val="20"/>
              </w:rPr>
              <w:t>11.278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DDEBF7"/>
            <w:vAlign w:val="center"/>
          </w:tcPr>
          <w:p w14:paraId="198CE0A5" w14:textId="3852AE4B" w:rsidR="0450F7B3" w:rsidRPr="00257A8A" w:rsidRDefault="0450F7B3" w:rsidP="00257A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7A8A">
              <w:rPr>
                <w:rFonts w:ascii="Verdana" w:eastAsia="Calibri" w:hAnsi="Verdana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100%</w:t>
            </w:r>
          </w:p>
        </w:tc>
      </w:tr>
    </w:tbl>
    <w:p w14:paraId="152F21C9" w14:textId="2316F3DE" w:rsidR="0450F7B3" w:rsidRPr="00257A8A" w:rsidRDefault="0450F7B3" w:rsidP="00257A8A">
      <w:pPr>
        <w:jc w:val="both"/>
        <w:rPr>
          <w:rFonts w:ascii="Verdana" w:hAnsi="Verdana"/>
          <w:sz w:val="20"/>
          <w:szCs w:val="20"/>
        </w:rPr>
      </w:pPr>
    </w:p>
    <w:p w14:paraId="77DFD98B" w14:textId="757C816C" w:rsidR="355B3517" w:rsidRPr="00257A8A" w:rsidRDefault="00FE19A5" w:rsidP="00257A8A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257A8A">
        <w:rPr>
          <w:rFonts w:ascii="Verdana" w:hAnsi="Verdana"/>
          <w:sz w:val="20"/>
          <w:szCs w:val="20"/>
        </w:rPr>
        <w:t>5</w:t>
      </w:r>
      <w:r w:rsidR="697F0354" w:rsidRPr="00257A8A">
        <w:rPr>
          <w:rFonts w:ascii="Verdana" w:hAnsi="Verdana"/>
          <w:sz w:val="20"/>
          <w:szCs w:val="20"/>
        </w:rPr>
        <w:t>.</w:t>
      </w:r>
      <w:r w:rsidR="00257A8A">
        <w:rPr>
          <w:rFonts w:ascii="Verdana" w:hAnsi="Verdana"/>
          <w:sz w:val="20"/>
          <w:szCs w:val="20"/>
        </w:rPr>
        <w:tab/>
      </w:r>
      <w:r w:rsidR="2293DA95" w:rsidRPr="00257A8A">
        <w:rPr>
          <w:rFonts w:ascii="Verdana" w:hAnsi="Verdana"/>
          <w:sz w:val="20"/>
          <w:szCs w:val="20"/>
        </w:rPr>
        <w:t xml:space="preserve">Er werden </w:t>
      </w:r>
      <w:r w:rsidR="7A4CE01D" w:rsidRPr="00257A8A">
        <w:rPr>
          <w:rFonts w:ascii="Verdana" w:hAnsi="Verdana"/>
          <w:sz w:val="20"/>
          <w:szCs w:val="20"/>
        </w:rPr>
        <w:t xml:space="preserve">5.973 tijdelijke contracten afgesloten na 31/01/2021. </w:t>
      </w:r>
    </w:p>
    <w:p w14:paraId="4E3BBBC0" w14:textId="57FC219C" w:rsidR="0450F7B3" w:rsidRPr="00257A8A" w:rsidRDefault="0450F7B3" w:rsidP="00257A8A">
      <w:pPr>
        <w:jc w:val="both"/>
        <w:rPr>
          <w:rFonts w:ascii="Verdana" w:hAnsi="Verdana"/>
          <w:sz w:val="20"/>
          <w:szCs w:val="20"/>
        </w:rPr>
      </w:pPr>
    </w:p>
    <w:p w14:paraId="59F74F5A" w14:textId="4BE005A1" w:rsidR="38E664D3" w:rsidRPr="00257A8A" w:rsidRDefault="00FE19A5" w:rsidP="00257A8A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257A8A">
        <w:rPr>
          <w:rFonts w:ascii="Verdana" w:hAnsi="Verdana"/>
          <w:sz w:val="20"/>
          <w:szCs w:val="20"/>
        </w:rPr>
        <w:t>6</w:t>
      </w:r>
      <w:r w:rsidR="38E664D3" w:rsidRPr="00257A8A">
        <w:rPr>
          <w:rFonts w:ascii="Verdana" w:hAnsi="Verdana"/>
          <w:sz w:val="20"/>
          <w:szCs w:val="20"/>
        </w:rPr>
        <w:t>.</w:t>
      </w:r>
      <w:r w:rsidR="00257A8A">
        <w:rPr>
          <w:rFonts w:ascii="Verdana" w:hAnsi="Verdana"/>
          <w:sz w:val="20"/>
          <w:szCs w:val="20"/>
        </w:rPr>
        <w:tab/>
      </w:r>
      <w:r w:rsidR="38E664D3" w:rsidRPr="00257A8A">
        <w:rPr>
          <w:rFonts w:ascii="Verdana" w:hAnsi="Verdana"/>
          <w:sz w:val="20"/>
          <w:szCs w:val="20"/>
        </w:rPr>
        <w:t xml:space="preserve">De meest recente beschikbare cijfers zijn deze van 2021. </w:t>
      </w:r>
    </w:p>
    <w:p w14:paraId="28F45141" w14:textId="04B0B488" w:rsidR="38E664D3" w:rsidRPr="00257A8A" w:rsidRDefault="38E664D3" w:rsidP="00257A8A">
      <w:pPr>
        <w:pStyle w:val="Lijstalinea"/>
        <w:numPr>
          <w:ilvl w:val="0"/>
          <w:numId w:val="1"/>
        </w:numPr>
        <w:ind w:left="709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257A8A">
        <w:rPr>
          <w:rFonts w:ascii="Verdana" w:hAnsi="Verdana"/>
          <w:sz w:val="20"/>
          <w:szCs w:val="20"/>
        </w:rPr>
        <w:t>We</w:t>
      </w:r>
      <w:r w:rsidR="00285E3E" w:rsidRPr="00257A8A">
        <w:rPr>
          <w:rFonts w:ascii="Verdana" w:hAnsi="Verdana"/>
          <w:sz w:val="20"/>
          <w:szCs w:val="20"/>
        </w:rPr>
        <w:t xml:space="preserve"> weten enkel dat op 31/12/2021 99 woningen leegstonden omwille van </w:t>
      </w:r>
      <w:r w:rsidR="006206C6" w:rsidRPr="00257A8A">
        <w:rPr>
          <w:rFonts w:ascii="Verdana" w:hAnsi="Verdana"/>
          <w:sz w:val="20"/>
          <w:szCs w:val="20"/>
        </w:rPr>
        <w:t>het overlijden van de laatste huurder.</w:t>
      </w:r>
      <w:r w:rsidR="000A35B5" w:rsidRPr="00257A8A">
        <w:rPr>
          <w:rFonts w:ascii="Verdana" w:hAnsi="Verdana"/>
          <w:sz w:val="20"/>
          <w:szCs w:val="20"/>
        </w:rPr>
        <w:t xml:space="preserve"> Het gaat dan ook over langdurige leegstand </w:t>
      </w:r>
      <w:r w:rsidR="0087160E" w:rsidRPr="00257A8A">
        <w:rPr>
          <w:rFonts w:ascii="Verdana" w:hAnsi="Verdana"/>
          <w:sz w:val="20"/>
          <w:szCs w:val="20"/>
        </w:rPr>
        <w:t>omwi</w:t>
      </w:r>
      <w:r w:rsidR="00AE1A10" w:rsidRPr="00257A8A">
        <w:rPr>
          <w:rFonts w:ascii="Verdana" w:hAnsi="Verdana"/>
          <w:sz w:val="20"/>
          <w:szCs w:val="20"/>
        </w:rPr>
        <w:t>l</w:t>
      </w:r>
      <w:r w:rsidR="0087160E" w:rsidRPr="00257A8A">
        <w:rPr>
          <w:rFonts w:ascii="Verdana" w:hAnsi="Verdana"/>
          <w:sz w:val="20"/>
          <w:szCs w:val="20"/>
        </w:rPr>
        <w:t>le van</w:t>
      </w:r>
      <w:r w:rsidR="000A35B5" w:rsidRPr="00257A8A">
        <w:rPr>
          <w:rFonts w:ascii="Verdana" w:hAnsi="Verdana"/>
          <w:sz w:val="20"/>
          <w:szCs w:val="20"/>
        </w:rPr>
        <w:t xml:space="preserve"> betwistingen </w:t>
      </w:r>
      <w:r w:rsidR="0087160E" w:rsidRPr="00257A8A">
        <w:rPr>
          <w:rFonts w:ascii="Verdana" w:hAnsi="Verdana"/>
          <w:sz w:val="20"/>
          <w:szCs w:val="20"/>
        </w:rPr>
        <w:t>inzake</w:t>
      </w:r>
      <w:r w:rsidR="000A35B5" w:rsidRPr="00257A8A">
        <w:rPr>
          <w:rFonts w:ascii="Verdana" w:hAnsi="Verdana"/>
          <w:sz w:val="20"/>
          <w:szCs w:val="20"/>
        </w:rPr>
        <w:t xml:space="preserve"> de erfenis.</w:t>
      </w:r>
      <w:r w:rsidR="00C07373" w:rsidRPr="00257A8A">
        <w:rPr>
          <w:rFonts w:ascii="Verdana" w:hAnsi="Verdana"/>
          <w:sz w:val="20"/>
          <w:szCs w:val="20"/>
        </w:rPr>
        <w:t xml:space="preserve"> </w:t>
      </w:r>
      <w:r w:rsidR="00A13871" w:rsidRPr="00257A8A">
        <w:rPr>
          <w:rFonts w:ascii="Verdana" w:hAnsi="Verdana"/>
          <w:sz w:val="20"/>
          <w:szCs w:val="20"/>
        </w:rPr>
        <w:t>Er zijn echter geen cijfers over het aantal</w:t>
      </w:r>
      <w:r w:rsidR="00C07373" w:rsidRPr="00257A8A">
        <w:rPr>
          <w:rFonts w:ascii="Verdana" w:hAnsi="Verdana"/>
          <w:sz w:val="20"/>
          <w:szCs w:val="20"/>
        </w:rPr>
        <w:t xml:space="preserve"> woningen </w:t>
      </w:r>
      <w:r w:rsidR="00A13871" w:rsidRPr="00257A8A">
        <w:rPr>
          <w:rFonts w:ascii="Verdana" w:hAnsi="Verdana"/>
          <w:sz w:val="20"/>
          <w:szCs w:val="20"/>
        </w:rPr>
        <w:t>dat</w:t>
      </w:r>
      <w:r w:rsidR="00C07373" w:rsidRPr="00257A8A">
        <w:rPr>
          <w:rFonts w:ascii="Verdana" w:hAnsi="Verdana"/>
          <w:sz w:val="20"/>
          <w:szCs w:val="20"/>
        </w:rPr>
        <w:t xml:space="preserve"> vrij kwam door overlijden</w:t>
      </w:r>
      <w:r w:rsidR="00A13871" w:rsidRPr="00257A8A">
        <w:rPr>
          <w:rFonts w:ascii="Verdana" w:hAnsi="Verdana"/>
          <w:sz w:val="20"/>
          <w:szCs w:val="20"/>
        </w:rPr>
        <w:t>.</w:t>
      </w:r>
      <w:r w:rsidR="7DEAC673" w:rsidRPr="00257A8A">
        <w:rPr>
          <w:rFonts w:ascii="Verdana" w:hAnsi="Verdana"/>
          <w:sz w:val="20"/>
          <w:szCs w:val="20"/>
        </w:rPr>
        <w:t xml:space="preserve"> </w:t>
      </w:r>
    </w:p>
    <w:p w14:paraId="74E54400" w14:textId="47674DA7" w:rsidR="0085229C" w:rsidRPr="00257A8A" w:rsidRDefault="3F241DE5" w:rsidP="00257A8A">
      <w:pPr>
        <w:pStyle w:val="Lijstalinea"/>
        <w:numPr>
          <w:ilvl w:val="0"/>
          <w:numId w:val="1"/>
        </w:numPr>
        <w:ind w:left="709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257A8A">
        <w:rPr>
          <w:rFonts w:ascii="Verdana" w:hAnsi="Verdana"/>
          <w:sz w:val="20"/>
          <w:szCs w:val="20"/>
        </w:rPr>
        <w:t xml:space="preserve">Deze gegevens zijn niet beschikbaar. </w:t>
      </w:r>
    </w:p>
    <w:p w14:paraId="01DECA0D" w14:textId="77777777" w:rsidR="00FA5B57" w:rsidRPr="00257A8A" w:rsidRDefault="00FA5B57" w:rsidP="00257A8A">
      <w:pPr>
        <w:jc w:val="both"/>
        <w:rPr>
          <w:rFonts w:ascii="Verdana" w:hAnsi="Verdana"/>
          <w:b/>
          <w:smallCaps/>
          <w:color w:val="FF0000"/>
          <w:sz w:val="20"/>
          <w:szCs w:val="20"/>
          <w:u w:val="single"/>
        </w:rPr>
      </w:pPr>
    </w:p>
    <w:p w14:paraId="44222953" w14:textId="77777777" w:rsidR="00FA5B57" w:rsidRPr="00257A8A" w:rsidRDefault="00FA5B57" w:rsidP="00257A8A">
      <w:pPr>
        <w:jc w:val="both"/>
        <w:rPr>
          <w:rFonts w:ascii="Verdana" w:hAnsi="Verdana"/>
          <w:b/>
          <w:smallCaps/>
          <w:color w:val="FF0000"/>
          <w:sz w:val="20"/>
          <w:szCs w:val="20"/>
          <w:u w:val="single"/>
        </w:rPr>
      </w:pPr>
    </w:p>
    <w:p w14:paraId="60061E4C" w14:textId="5AFA01C1" w:rsidR="00AE4255" w:rsidRPr="00257A8A" w:rsidRDefault="00AE4255" w:rsidP="00257A8A">
      <w:pPr>
        <w:jc w:val="both"/>
        <w:rPr>
          <w:rFonts w:ascii="Verdana" w:hAnsi="Verdana"/>
          <w:b/>
          <w:smallCaps/>
          <w:color w:val="FF0000"/>
          <w:sz w:val="20"/>
          <w:szCs w:val="20"/>
          <w:u w:val="single"/>
        </w:rPr>
      </w:pPr>
      <w:r w:rsidRPr="00257A8A">
        <w:rPr>
          <w:rFonts w:ascii="Verdana" w:hAnsi="Verdana"/>
          <w:b/>
          <w:smallCaps/>
          <w:color w:val="FF0000"/>
          <w:sz w:val="20"/>
          <w:szCs w:val="20"/>
          <w:u w:val="single"/>
        </w:rPr>
        <w:t>bijlagen</w:t>
      </w:r>
    </w:p>
    <w:p w14:paraId="1CFCC40F" w14:textId="77777777" w:rsidR="00257A8A" w:rsidRDefault="00257A8A" w:rsidP="00257A8A">
      <w:pPr>
        <w:ind w:left="284"/>
        <w:jc w:val="both"/>
        <w:rPr>
          <w:rFonts w:ascii="Verdana" w:hAnsi="Verdana"/>
          <w:sz w:val="20"/>
          <w:szCs w:val="20"/>
        </w:rPr>
      </w:pPr>
    </w:p>
    <w:p w14:paraId="172A0622" w14:textId="052214DF" w:rsidR="00AE4255" w:rsidRPr="00257A8A" w:rsidRDefault="00B318C2" w:rsidP="00257A8A">
      <w:pPr>
        <w:numPr>
          <w:ilvl w:val="0"/>
          <w:numId w:val="7"/>
        </w:numPr>
        <w:ind w:left="284" w:hanging="284"/>
        <w:jc w:val="both"/>
        <w:rPr>
          <w:rFonts w:ascii="Verdana" w:hAnsi="Verdana"/>
          <w:sz w:val="20"/>
          <w:szCs w:val="20"/>
        </w:rPr>
      </w:pPr>
      <w:hyperlink r:id="rId17" w:history="1">
        <w:r w:rsidR="68424F45" w:rsidRPr="00B318C2">
          <w:rPr>
            <w:rStyle w:val="Hyperlink"/>
            <w:rFonts w:ascii="Verdana" w:hAnsi="Verdana"/>
            <w:sz w:val="20"/>
            <w:szCs w:val="20"/>
          </w:rPr>
          <w:t>Leeftijd</w:t>
        </w:r>
      </w:hyperlink>
    </w:p>
    <w:p w14:paraId="3358A2D1" w14:textId="4216AB77" w:rsidR="009C355F" w:rsidRPr="00257A8A" w:rsidRDefault="00B318C2" w:rsidP="00257A8A">
      <w:pPr>
        <w:numPr>
          <w:ilvl w:val="0"/>
          <w:numId w:val="7"/>
        </w:numPr>
        <w:ind w:left="284" w:hanging="284"/>
        <w:jc w:val="both"/>
        <w:rPr>
          <w:rFonts w:ascii="Verdana" w:hAnsi="Verdana"/>
          <w:sz w:val="20"/>
          <w:szCs w:val="20"/>
        </w:rPr>
      </w:pPr>
      <w:hyperlink r:id="rId18" w:history="1">
        <w:r w:rsidR="00F44CBE" w:rsidRPr="00B318C2">
          <w:rPr>
            <w:rStyle w:val="Hyperlink"/>
            <w:rFonts w:ascii="Verdana" w:hAnsi="Verdana"/>
            <w:sz w:val="20"/>
            <w:szCs w:val="20"/>
          </w:rPr>
          <w:t>Aantal referentiehuurders 65+</w:t>
        </w:r>
      </w:hyperlink>
    </w:p>
    <w:sectPr w:rsidR="009C355F" w:rsidRPr="00257A8A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6BAC3" w14:textId="77777777" w:rsidR="00240607" w:rsidRDefault="00240607" w:rsidP="00300720">
      <w:r>
        <w:separator/>
      </w:r>
    </w:p>
  </w:endnote>
  <w:endnote w:type="continuationSeparator" w:id="0">
    <w:p w14:paraId="72AAB1D7" w14:textId="77777777" w:rsidR="00240607" w:rsidRDefault="00240607" w:rsidP="00300720">
      <w:r>
        <w:continuationSeparator/>
      </w:r>
    </w:p>
  </w:endnote>
  <w:endnote w:type="continuationNotice" w:id="1">
    <w:p w14:paraId="4AECEBDD" w14:textId="77777777" w:rsidR="00240607" w:rsidRDefault="002406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8F50" w14:textId="77777777" w:rsidR="00300720" w:rsidRDefault="0030072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7DE8" w14:textId="77777777" w:rsidR="00300720" w:rsidRDefault="0030072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B299" w14:textId="77777777" w:rsidR="00300720" w:rsidRDefault="0030072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7CBD" w14:textId="77777777" w:rsidR="00240607" w:rsidRDefault="00240607" w:rsidP="00300720">
      <w:r>
        <w:separator/>
      </w:r>
    </w:p>
  </w:footnote>
  <w:footnote w:type="continuationSeparator" w:id="0">
    <w:p w14:paraId="48C77006" w14:textId="77777777" w:rsidR="00240607" w:rsidRDefault="00240607" w:rsidP="00300720">
      <w:r>
        <w:continuationSeparator/>
      </w:r>
    </w:p>
  </w:footnote>
  <w:footnote w:type="continuationNotice" w:id="1">
    <w:p w14:paraId="6D1812DF" w14:textId="77777777" w:rsidR="00240607" w:rsidRDefault="002406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34679" w14:textId="77777777" w:rsidR="00300720" w:rsidRDefault="0030072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4445" w14:textId="77777777" w:rsidR="00300720" w:rsidRDefault="0030072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1683" w14:textId="77777777" w:rsidR="00300720" w:rsidRDefault="0030072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E5C"/>
    <w:multiLevelType w:val="hybridMultilevel"/>
    <w:tmpl w:val="48ECE2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24D0E"/>
    <w:multiLevelType w:val="hybridMultilevel"/>
    <w:tmpl w:val="57CCB4A0"/>
    <w:lvl w:ilvl="0" w:tplc="CE089C3C">
      <w:start w:val="1"/>
      <w:numFmt w:val="lowerLetter"/>
      <w:lvlText w:val="%1."/>
      <w:lvlJc w:val="left"/>
      <w:pPr>
        <w:ind w:left="1004" w:hanging="360"/>
      </w:pPr>
    </w:lvl>
    <w:lvl w:ilvl="1" w:tplc="2CB6B81A">
      <w:start w:val="1"/>
      <w:numFmt w:val="lowerLetter"/>
      <w:lvlText w:val="%2."/>
      <w:lvlJc w:val="left"/>
      <w:pPr>
        <w:ind w:left="1724" w:hanging="360"/>
      </w:pPr>
    </w:lvl>
    <w:lvl w:ilvl="2" w:tplc="453C5CCC">
      <w:start w:val="1"/>
      <w:numFmt w:val="lowerRoman"/>
      <w:lvlText w:val="%3."/>
      <w:lvlJc w:val="right"/>
      <w:pPr>
        <w:ind w:left="2444" w:hanging="180"/>
      </w:pPr>
    </w:lvl>
    <w:lvl w:ilvl="3" w:tplc="6962720A">
      <w:start w:val="1"/>
      <w:numFmt w:val="decimal"/>
      <w:lvlText w:val="%4."/>
      <w:lvlJc w:val="left"/>
      <w:pPr>
        <w:ind w:left="3164" w:hanging="360"/>
      </w:pPr>
    </w:lvl>
    <w:lvl w:ilvl="4" w:tplc="491875C2">
      <w:start w:val="1"/>
      <w:numFmt w:val="lowerLetter"/>
      <w:lvlText w:val="%5."/>
      <w:lvlJc w:val="left"/>
      <w:pPr>
        <w:ind w:left="3884" w:hanging="360"/>
      </w:pPr>
    </w:lvl>
    <w:lvl w:ilvl="5" w:tplc="F42A7FF8">
      <w:start w:val="1"/>
      <w:numFmt w:val="lowerRoman"/>
      <w:lvlText w:val="%6."/>
      <w:lvlJc w:val="right"/>
      <w:pPr>
        <w:ind w:left="4604" w:hanging="180"/>
      </w:pPr>
    </w:lvl>
    <w:lvl w:ilvl="6" w:tplc="D3AAD9FA">
      <w:start w:val="1"/>
      <w:numFmt w:val="decimal"/>
      <w:lvlText w:val="%7."/>
      <w:lvlJc w:val="left"/>
      <w:pPr>
        <w:ind w:left="5324" w:hanging="360"/>
      </w:pPr>
    </w:lvl>
    <w:lvl w:ilvl="7" w:tplc="EE32BDC4">
      <w:start w:val="1"/>
      <w:numFmt w:val="lowerLetter"/>
      <w:lvlText w:val="%8."/>
      <w:lvlJc w:val="left"/>
      <w:pPr>
        <w:ind w:left="6044" w:hanging="360"/>
      </w:pPr>
    </w:lvl>
    <w:lvl w:ilvl="8" w:tplc="892CD72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D5FB28A"/>
    <w:multiLevelType w:val="hybridMultilevel"/>
    <w:tmpl w:val="ACFA9C24"/>
    <w:lvl w:ilvl="0" w:tplc="B3CADDD2">
      <w:start w:val="1"/>
      <w:numFmt w:val="lowerLetter"/>
      <w:lvlText w:val="%1)"/>
      <w:lvlJc w:val="left"/>
      <w:pPr>
        <w:ind w:left="720" w:hanging="360"/>
      </w:pPr>
    </w:lvl>
    <w:lvl w:ilvl="1" w:tplc="6280658E">
      <w:start w:val="1"/>
      <w:numFmt w:val="lowerLetter"/>
      <w:lvlText w:val="%2."/>
      <w:lvlJc w:val="left"/>
      <w:pPr>
        <w:ind w:left="1440" w:hanging="360"/>
      </w:pPr>
    </w:lvl>
    <w:lvl w:ilvl="2" w:tplc="9094ECF8">
      <w:start w:val="1"/>
      <w:numFmt w:val="lowerRoman"/>
      <w:lvlText w:val="%3."/>
      <w:lvlJc w:val="right"/>
      <w:pPr>
        <w:ind w:left="2160" w:hanging="180"/>
      </w:pPr>
    </w:lvl>
    <w:lvl w:ilvl="3" w:tplc="A10E44F6">
      <w:start w:val="1"/>
      <w:numFmt w:val="decimal"/>
      <w:lvlText w:val="%4."/>
      <w:lvlJc w:val="left"/>
      <w:pPr>
        <w:ind w:left="2880" w:hanging="360"/>
      </w:pPr>
    </w:lvl>
    <w:lvl w:ilvl="4" w:tplc="ED685F74">
      <w:start w:val="1"/>
      <w:numFmt w:val="lowerLetter"/>
      <w:lvlText w:val="%5."/>
      <w:lvlJc w:val="left"/>
      <w:pPr>
        <w:ind w:left="3600" w:hanging="360"/>
      </w:pPr>
    </w:lvl>
    <w:lvl w:ilvl="5" w:tplc="6B94AF72">
      <w:start w:val="1"/>
      <w:numFmt w:val="lowerRoman"/>
      <w:lvlText w:val="%6."/>
      <w:lvlJc w:val="right"/>
      <w:pPr>
        <w:ind w:left="4320" w:hanging="180"/>
      </w:pPr>
    </w:lvl>
    <w:lvl w:ilvl="6" w:tplc="2C08A712">
      <w:start w:val="1"/>
      <w:numFmt w:val="decimal"/>
      <w:lvlText w:val="%7."/>
      <w:lvlJc w:val="left"/>
      <w:pPr>
        <w:ind w:left="5040" w:hanging="360"/>
      </w:pPr>
    </w:lvl>
    <w:lvl w:ilvl="7" w:tplc="D11A48E6">
      <w:start w:val="1"/>
      <w:numFmt w:val="lowerLetter"/>
      <w:lvlText w:val="%8."/>
      <w:lvlJc w:val="left"/>
      <w:pPr>
        <w:ind w:left="5760" w:hanging="360"/>
      </w:pPr>
    </w:lvl>
    <w:lvl w:ilvl="8" w:tplc="FCC80DF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768E8"/>
    <w:multiLevelType w:val="hybridMultilevel"/>
    <w:tmpl w:val="A56EECC0"/>
    <w:lvl w:ilvl="0" w:tplc="0A500890">
      <w:start w:val="1"/>
      <w:numFmt w:val="decimal"/>
      <w:lvlText w:val="%1."/>
      <w:lvlJc w:val="left"/>
      <w:pPr>
        <w:ind w:left="720" w:hanging="360"/>
      </w:pPr>
    </w:lvl>
    <w:lvl w:ilvl="1" w:tplc="E83CCEAA">
      <w:start w:val="1"/>
      <w:numFmt w:val="lowerLetter"/>
      <w:lvlText w:val="%2."/>
      <w:lvlJc w:val="left"/>
      <w:pPr>
        <w:ind w:left="1440" w:hanging="360"/>
      </w:pPr>
    </w:lvl>
    <w:lvl w:ilvl="2" w:tplc="D220BB32">
      <w:start w:val="1"/>
      <w:numFmt w:val="lowerRoman"/>
      <w:lvlText w:val="%3."/>
      <w:lvlJc w:val="right"/>
      <w:pPr>
        <w:ind w:left="2160" w:hanging="180"/>
      </w:pPr>
    </w:lvl>
    <w:lvl w:ilvl="3" w:tplc="FE780C22">
      <w:start w:val="1"/>
      <w:numFmt w:val="decimal"/>
      <w:lvlText w:val="%4."/>
      <w:lvlJc w:val="left"/>
      <w:pPr>
        <w:ind w:left="2880" w:hanging="360"/>
      </w:pPr>
    </w:lvl>
    <w:lvl w:ilvl="4" w:tplc="F77E4D30">
      <w:start w:val="1"/>
      <w:numFmt w:val="lowerLetter"/>
      <w:lvlText w:val="%5."/>
      <w:lvlJc w:val="left"/>
      <w:pPr>
        <w:ind w:left="3600" w:hanging="360"/>
      </w:pPr>
    </w:lvl>
    <w:lvl w:ilvl="5" w:tplc="793442C6">
      <w:start w:val="1"/>
      <w:numFmt w:val="lowerRoman"/>
      <w:lvlText w:val="%6."/>
      <w:lvlJc w:val="right"/>
      <w:pPr>
        <w:ind w:left="4320" w:hanging="180"/>
      </w:pPr>
    </w:lvl>
    <w:lvl w:ilvl="6" w:tplc="227C50F4">
      <w:start w:val="1"/>
      <w:numFmt w:val="decimal"/>
      <w:lvlText w:val="%7."/>
      <w:lvlJc w:val="left"/>
      <w:pPr>
        <w:ind w:left="5040" w:hanging="360"/>
      </w:pPr>
    </w:lvl>
    <w:lvl w:ilvl="7" w:tplc="F1B68D94">
      <w:start w:val="1"/>
      <w:numFmt w:val="lowerLetter"/>
      <w:lvlText w:val="%8."/>
      <w:lvlJc w:val="left"/>
      <w:pPr>
        <w:ind w:left="5760" w:hanging="360"/>
      </w:pPr>
    </w:lvl>
    <w:lvl w:ilvl="8" w:tplc="E98AE55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 w16cid:durableId="306590468">
    <w:abstractNumId w:val="1"/>
  </w:num>
  <w:num w:numId="2" w16cid:durableId="1352025078">
    <w:abstractNumId w:val="4"/>
  </w:num>
  <w:num w:numId="3" w16cid:durableId="1532183596">
    <w:abstractNumId w:val="2"/>
  </w:num>
  <w:num w:numId="4" w16cid:durableId="523981238">
    <w:abstractNumId w:val="5"/>
  </w:num>
  <w:num w:numId="5" w16cid:durableId="1898085197">
    <w:abstractNumId w:val="5"/>
  </w:num>
  <w:num w:numId="6" w16cid:durableId="1995336721">
    <w:abstractNumId w:val="0"/>
  </w:num>
  <w:num w:numId="7" w16cid:durableId="737676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8C"/>
    <w:rsid w:val="00055385"/>
    <w:rsid w:val="000678D9"/>
    <w:rsid w:val="000822E6"/>
    <w:rsid w:val="000976E9"/>
    <w:rsid w:val="000A35B5"/>
    <w:rsid w:val="000C4E8C"/>
    <w:rsid w:val="000F3532"/>
    <w:rsid w:val="0011595A"/>
    <w:rsid w:val="001400AE"/>
    <w:rsid w:val="00166AAC"/>
    <w:rsid w:val="00210C07"/>
    <w:rsid w:val="002346BF"/>
    <w:rsid w:val="00240607"/>
    <w:rsid w:val="002525D1"/>
    <w:rsid w:val="00257A8A"/>
    <w:rsid w:val="00285E3E"/>
    <w:rsid w:val="002A0B01"/>
    <w:rsid w:val="002A1195"/>
    <w:rsid w:val="002D71A1"/>
    <w:rsid w:val="00300720"/>
    <w:rsid w:val="00301372"/>
    <w:rsid w:val="00326A58"/>
    <w:rsid w:val="00342950"/>
    <w:rsid w:val="00395822"/>
    <w:rsid w:val="003A470F"/>
    <w:rsid w:val="003C56FA"/>
    <w:rsid w:val="004223FF"/>
    <w:rsid w:val="00444585"/>
    <w:rsid w:val="004F2B09"/>
    <w:rsid w:val="004F30D4"/>
    <w:rsid w:val="00546C56"/>
    <w:rsid w:val="0056360C"/>
    <w:rsid w:val="005A2334"/>
    <w:rsid w:val="005B1F80"/>
    <w:rsid w:val="005D5073"/>
    <w:rsid w:val="005E38CA"/>
    <w:rsid w:val="006206C6"/>
    <w:rsid w:val="00624F00"/>
    <w:rsid w:val="006563FB"/>
    <w:rsid w:val="006752B6"/>
    <w:rsid w:val="0069528B"/>
    <w:rsid w:val="006B66DA"/>
    <w:rsid w:val="006F3498"/>
    <w:rsid w:val="006F6E19"/>
    <w:rsid w:val="0071248C"/>
    <w:rsid w:val="007252C7"/>
    <w:rsid w:val="007328A4"/>
    <w:rsid w:val="0075030D"/>
    <w:rsid w:val="007B0132"/>
    <w:rsid w:val="007C07F4"/>
    <w:rsid w:val="007E167D"/>
    <w:rsid w:val="0085229C"/>
    <w:rsid w:val="0085529B"/>
    <w:rsid w:val="0087160E"/>
    <w:rsid w:val="008B4A42"/>
    <w:rsid w:val="008D1BFB"/>
    <w:rsid w:val="008D5DB4"/>
    <w:rsid w:val="00932B48"/>
    <w:rsid w:val="009347E0"/>
    <w:rsid w:val="00957ED2"/>
    <w:rsid w:val="00965E7F"/>
    <w:rsid w:val="00966711"/>
    <w:rsid w:val="009C10C8"/>
    <w:rsid w:val="009C355F"/>
    <w:rsid w:val="009D7043"/>
    <w:rsid w:val="00A13871"/>
    <w:rsid w:val="00A45B5B"/>
    <w:rsid w:val="00A463E3"/>
    <w:rsid w:val="00A476BC"/>
    <w:rsid w:val="00A51FBA"/>
    <w:rsid w:val="00A622D7"/>
    <w:rsid w:val="00AA6C5E"/>
    <w:rsid w:val="00AE1A10"/>
    <w:rsid w:val="00AE4255"/>
    <w:rsid w:val="00AF015F"/>
    <w:rsid w:val="00B318C2"/>
    <w:rsid w:val="00B45EB2"/>
    <w:rsid w:val="00B54E2E"/>
    <w:rsid w:val="00B86929"/>
    <w:rsid w:val="00BB65E2"/>
    <w:rsid w:val="00BD5AA3"/>
    <w:rsid w:val="00BE425A"/>
    <w:rsid w:val="00BE7718"/>
    <w:rsid w:val="00BF3909"/>
    <w:rsid w:val="00C02AD0"/>
    <w:rsid w:val="00C07373"/>
    <w:rsid w:val="00C31CFB"/>
    <w:rsid w:val="00C91441"/>
    <w:rsid w:val="00CC3A90"/>
    <w:rsid w:val="00D02FE6"/>
    <w:rsid w:val="00D67086"/>
    <w:rsid w:val="00D71D99"/>
    <w:rsid w:val="00D754F2"/>
    <w:rsid w:val="00DA1768"/>
    <w:rsid w:val="00DB41C0"/>
    <w:rsid w:val="00DC4DB6"/>
    <w:rsid w:val="00E55200"/>
    <w:rsid w:val="00E63510"/>
    <w:rsid w:val="00E85C8D"/>
    <w:rsid w:val="00E91B56"/>
    <w:rsid w:val="00ED4AD8"/>
    <w:rsid w:val="00F0772D"/>
    <w:rsid w:val="00F44CBE"/>
    <w:rsid w:val="00F74399"/>
    <w:rsid w:val="00FA29D6"/>
    <w:rsid w:val="00FA5A47"/>
    <w:rsid w:val="00FA5B57"/>
    <w:rsid w:val="00FB7BA4"/>
    <w:rsid w:val="00FC4702"/>
    <w:rsid w:val="00FD5BF4"/>
    <w:rsid w:val="00FE19A5"/>
    <w:rsid w:val="00FE5406"/>
    <w:rsid w:val="00FE7BE7"/>
    <w:rsid w:val="0450F7B3"/>
    <w:rsid w:val="04ABE7CC"/>
    <w:rsid w:val="05346325"/>
    <w:rsid w:val="068F5C90"/>
    <w:rsid w:val="0859C7BF"/>
    <w:rsid w:val="0A074956"/>
    <w:rsid w:val="0AEAD8D9"/>
    <w:rsid w:val="0E9FD949"/>
    <w:rsid w:val="1263C5B6"/>
    <w:rsid w:val="1301BC8A"/>
    <w:rsid w:val="135EF685"/>
    <w:rsid w:val="13A5E5B2"/>
    <w:rsid w:val="1DFB87B9"/>
    <w:rsid w:val="2000830C"/>
    <w:rsid w:val="206B405D"/>
    <w:rsid w:val="2293DA95"/>
    <w:rsid w:val="2526536C"/>
    <w:rsid w:val="2A4F20C4"/>
    <w:rsid w:val="2CFB665C"/>
    <w:rsid w:val="2EA6921F"/>
    <w:rsid w:val="2EBCA1C3"/>
    <w:rsid w:val="2FD956B9"/>
    <w:rsid w:val="30426280"/>
    <w:rsid w:val="353371E6"/>
    <w:rsid w:val="355B3517"/>
    <w:rsid w:val="36A7FC9B"/>
    <w:rsid w:val="373C5B30"/>
    <w:rsid w:val="37AB5B44"/>
    <w:rsid w:val="38946392"/>
    <w:rsid w:val="38E664D3"/>
    <w:rsid w:val="3924397A"/>
    <w:rsid w:val="3A3033F3"/>
    <w:rsid w:val="3F241DE5"/>
    <w:rsid w:val="48B4B8FE"/>
    <w:rsid w:val="499E4A4F"/>
    <w:rsid w:val="4ADA0326"/>
    <w:rsid w:val="4B729C25"/>
    <w:rsid w:val="5018410B"/>
    <w:rsid w:val="553FB638"/>
    <w:rsid w:val="55571B75"/>
    <w:rsid w:val="55D363E3"/>
    <w:rsid w:val="5D3D390C"/>
    <w:rsid w:val="5F8D6A56"/>
    <w:rsid w:val="6014B8E2"/>
    <w:rsid w:val="614026FF"/>
    <w:rsid w:val="6184F43D"/>
    <w:rsid w:val="61DBB8E1"/>
    <w:rsid w:val="63A53BE3"/>
    <w:rsid w:val="660B347C"/>
    <w:rsid w:val="68424F45"/>
    <w:rsid w:val="697F0354"/>
    <w:rsid w:val="6C88E0CC"/>
    <w:rsid w:val="78C68B95"/>
    <w:rsid w:val="7A4CE01D"/>
    <w:rsid w:val="7A625BF6"/>
    <w:rsid w:val="7A706269"/>
    <w:rsid w:val="7B10775E"/>
    <w:rsid w:val="7BF6F728"/>
    <w:rsid w:val="7C34ED63"/>
    <w:rsid w:val="7D5F0023"/>
    <w:rsid w:val="7DEAC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9FD949"/>
  <w15:docId w15:val="{D5BA54E9-380D-40AD-AC95-FD90CBDF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Koptekst">
    <w:name w:val="header"/>
    <w:basedOn w:val="Standaard"/>
    <w:link w:val="KoptekstChar"/>
    <w:unhideWhenUsed/>
    <w:rsid w:val="003007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00720"/>
    <w:rPr>
      <w:sz w:val="22"/>
      <w:szCs w:val="24"/>
      <w:lang w:val="nl-NL" w:eastAsia="nl-NL"/>
    </w:rPr>
  </w:style>
  <w:style w:type="character" w:customStyle="1" w:styleId="spellingerror">
    <w:name w:val="spellingerror"/>
    <w:basedOn w:val="Standaardalinea-lettertype"/>
    <w:rsid w:val="009C10C8"/>
  </w:style>
  <w:style w:type="table" w:styleId="Tabelraster">
    <w:name w:val="Table Grid"/>
    <w:basedOn w:val="Standaardtab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B318C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1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vlaamsparlement.be/link?id=1650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vlaamsparlement.be/link?id=16502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tandtype xmlns="03d5240a-782c-4048-8313-d01b5d6ab2a6" xsi:nil="true"/>
    <lcf76f155ced4ddcb4097134ff3c332f xmlns="03d5240a-782c-4048-8313-d01b5d6ab2a6">
      <Terms xmlns="http://schemas.microsoft.com/office/infopath/2007/PartnerControls"/>
    </lcf76f155ced4ddcb4097134ff3c332f>
    <Documenttype xmlns="03d5240a-782c-4048-8313-d01b5d6ab2a6" xsi:nil="true"/>
    <Thema xmlns="03d5240a-782c-4048-8313-d01b5d6ab2a6" xsi:nil="true"/>
    <Platform xmlns="03d5240a-782c-4048-8313-d01b5d6ab2a6" xsi:nil="true"/>
    <TaxCatchAll xmlns="9a9ec0f0-7796-43d0-ac1f-4c8c46ee0b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21" ma:contentTypeDescription="Een nieuw document maken." ma:contentTypeScope="" ma:versionID="2d029834adf8bf07a55800a2b97e557c">
  <xsd:schema xmlns:xsd="http://www.w3.org/2001/XMLSchema" xmlns:xs="http://www.w3.org/2001/XMLSchema" xmlns:p="http://schemas.microsoft.com/office/2006/metadata/properties" xmlns:ns2="03d5240a-782c-4048-8313-d01b5d6ab2a6" xmlns:ns3="ceeae0c4-f3ff-4153-af2f-582bafa5e89e" xmlns:ns4="9a9ec0f0-7796-43d0-ac1f-4c8c46ee0bd1" targetNamespace="http://schemas.microsoft.com/office/2006/metadata/properties" ma:root="true" ma:fieldsID="6d1599ae7a28a317842e9ec20c1bd46a" ns2:_="" ns3:_="" ns4:_="">
    <xsd:import namespace="03d5240a-782c-4048-8313-d01b5d6ab2a6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estandtype" minOccurs="0"/>
                <xsd:element ref="ns2:Platform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hema" minOccurs="0"/>
                <xsd:element ref="ns2:Documenttyp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estandtype" ma:index="10" nillable="true" ma:displayName="Bestandtype" ma:description="Type Document" ma:format="Dropdown" ma:internalName="Bestandtype">
      <xsd:simpleType>
        <xsd:restriction base="dms:Choice">
          <xsd:enumeration value="Handleiding"/>
          <xsd:enumeration value="Script"/>
          <xsd:enumeration value="Software"/>
          <xsd:enumeration value="SoftwarePatch"/>
          <xsd:enumeration value="Informatie"/>
          <xsd:enumeration value="Afbeelding"/>
          <xsd:enumeration value="Film"/>
        </xsd:restriction>
      </xsd:simpleType>
    </xsd:element>
    <xsd:element name="Platform" ma:index="11" nillable="true" ma:displayName="Platform" ma:description="Platform versie" ma:format="Dropdown" ma:internalName="Platform">
      <xsd:simpleType>
        <xsd:union memberTypes="dms:Text">
          <xsd:simpleType>
            <xsd:restriction base="dms:Choice">
              <xsd:enumeration value="Windows"/>
              <xsd:enumeration value="MAC"/>
              <xsd:enumeration value="iOS"/>
              <xsd:enumeration value="Android"/>
              <xsd:enumeration value="Meerdere"/>
              <xsd:enumeration value="NVT"/>
            </xsd:restriction>
          </xsd:simpleType>
        </xsd:un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ema" ma:index="22" nillable="true" ma:displayName="Thema" ma:format="Dropdown" ma:internalName="Thema">
      <xsd:simpleType>
        <xsd:restriction base="dms:Choice">
          <xsd:enumeration value="Regulier"/>
          <xsd:enumeration value="Relance"/>
          <xsd:enumeration value="Covid"/>
          <xsd:enumeration value="Vaccinatie"/>
          <xsd:enumeration value="Testing &amp; Tracing"/>
          <xsd:enumeration value="VIA-6"/>
          <xsd:enumeration value="Oekraïne"/>
        </xsd:restriction>
      </xsd:simpleType>
    </xsd:element>
    <xsd:element name="Documenttype" ma:index="23" nillable="true" ma:displayName="Documenttype" ma:description="Indeling documenttype voor Cel begroting" ma:format="Dropdown" ma:internalName="Documenttype">
      <xsd:simpleType>
        <xsd:restriction base="dms:Choice">
          <xsd:enumeration value="BA ontwerp"/>
          <xsd:enumeration value="BA definitief"/>
          <xsd:enumeration value="Adviesnota BA"/>
          <xsd:enumeration value="Afsprakennota"/>
          <xsd:enumeration value="Advies IF"/>
          <xsd:enumeration value="Advies BOBFO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09275337-85d1-473b-b414-2b0626479769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E77682-6809-4CC9-A595-81E2D276A6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D7BC9E-E081-484B-BC0B-01E2ECBDB1BA}">
  <ds:schemaRefs>
    <ds:schemaRef ds:uri="http://schemas.microsoft.com/office/2006/metadata/properties"/>
    <ds:schemaRef ds:uri="http://schemas.microsoft.com/office/infopath/2007/PartnerControls"/>
    <ds:schemaRef ds:uri="03d5240a-782c-4048-8313-d01b5d6ab2a6"/>
    <ds:schemaRef ds:uri="9a9ec0f0-7796-43d0-ac1f-4c8c46ee0bd1"/>
  </ds:schemaRefs>
</ds:datastoreItem>
</file>

<file path=customXml/itemProps3.xml><?xml version="1.0" encoding="utf-8"?>
<ds:datastoreItem xmlns:ds="http://schemas.openxmlformats.org/officeDocument/2006/customXml" ds:itemID="{009CADE5-58E4-4087-B489-73A4E453B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33FB2F-FD63-4CF2-823D-0D05E35272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232</Words>
  <Characters>1455</Characters>
  <Application>Microsoft Office Word</Application>
  <DocSecurity>0</DocSecurity>
  <Lines>12</Lines>
  <Paragraphs>3</Paragraphs>
  <ScaleCrop>false</ScaleCrop>
  <Company>Vlaams Parlement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Swinnen Griet</dc:creator>
  <cp:lastModifiedBy>Geert Verbruggen</cp:lastModifiedBy>
  <cp:revision>2</cp:revision>
  <cp:lastPrinted>2014-08-26T13:40:00Z</cp:lastPrinted>
  <dcterms:created xsi:type="dcterms:W3CDTF">2023-02-27T13:14:00Z</dcterms:created>
  <dcterms:modified xsi:type="dcterms:W3CDTF">2023-02-27T13:14:00Z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_dlc_DocIdItemGuid">
    <vt:lpwstr>5330ab53-1f6d-4d7f-9fe3-efa76b372bc5</vt:lpwstr>
  </property>
  <property fmtid="{D5CDD505-2E9C-101B-9397-08002B2CF9AE}" pid="4" name="MediaServiceImageTags">
    <vt:lpwstr/>
  </property>
</Properties>
</file>