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12D5" w14:textId="77777777" w:rsidR="000976E9" w:rsidRPr="00AE4255" w:rsidRDefault="00F50C3F" w:rsidP="00AE4255">
      <w:pPr>
        <w:pStyle w:val="A-NaamMinister"/>
        <w:jc w:val="both"/>
        <w:rPr>
          <w:rFonts w:ascii="Verdana" w:hAnsi="Verdana"/>
          <w:sz w:val="20"/>
          <w:szCs w:val="20"/>
        </w:rPr>
      </w:pPr>
      <w:proofErr w:type="spellStart"/>
      <w:r>
        <w:rPr>
          <w:rFonts w:ascii="Verdana" w:hAnsi="Verdana"/>
          <w:sz w:val="20"/>
          <w:szCs w:val="20"/>
        </w:rPr>
        <w:t>matthias</w:t>
      </w:r>
      <w:proofErr w:type="spellEnd"/>
      <w:r>
        <w:rPr>
          <w:rFonts w:ascii="Verdana" w:hAnsi="Verdana"/>
          <w:sz w:val="20"/>
          <w:szCs w:val="20"/>
        </w:rPr>
        <w:t xml:space="preserve"> </w:t>
      </w:r>
      <w:proofErr w:type="spellStart"/>
      <w:r>
        <w:rPr>
          <w:rFonts w:ascii="Verdana" w:hAnsi="Verdana"/>
          <w:sz w:val="20"/>
          <w:szCs w:val="20"/>
        </w:rPr>
        <w:t>diependaele</w:t>
      </w:r>
      <w:proofErr w:type="spellEnd"/>
    </w:p>
    <w:p w14:paraId="5E7F7C2C" w14:textId="77777777" w:rsidR="000976E9" w:rsidRPr="00AE4255" w:rsidRDefault="00AE4255" w:rsidP="00AE4255">
      <w:pPr>
        <w:pStyle w:val="A-TitelMinister"/>
        <w:jc w:val="both"/>
        <w:rPr>
          <w:rFonts w:ascii="Verdana" w:hAnsi="Verdana"/>
          <w:sz w:val="20"/>
          <w:szCs w:val="20"/>
        </w:rPr>
      </w:pPr>
      <w:proofErr w:type="spellStart"/>
      <w:r w:rsidRPr="00AE4255">
        <w:rPr>
          <w:rFonts w:ascii="Verdana" w:hAnsi="Verdana"/>
          <w:sz w:val="20"/>
          <w:szCs w:val="20"/>
        </w:rPr>
        <w:t>vlaams</w:t>
      </w:r>
      <w:proofErr w:type="spellEnd"/>
      <w:r w:rsidRPr="00AE4255">
        <w:rPr>
          <w:rFonts w:ascii="Verdana" w:hAnsi="Verdana"/>
          <w:sz w:val="20"/>
          <w:szCs w:val="20"/>
        </w:rPr>
        <w:t xml:space="preserve"> minister van </w:t>
      </w:r>
      <w:r w:rsidR="00F50C3F">
        <w:rPr>
          <w:rFonts w:ascii="Verdana" w:hAnsi="Verdana"/>
          <w:sz w:val="20"/>
          <w:szCs w:val="20"/>
        </w:rPr>
        <w:t>financiën en begroting, wonen en onroerend erfgoed</w:t>
      </w:r>
    </w:p>
    <w:p w14:paraId="5BCB9B7E" w14:textId="77777777" w:rsidR="000976E9" w:rsidRPr="00AE4255" w:rsidRDefault="000976E9" w:rsidP="00AE4255">
      <w:pPr>
        <w:jc w:val="both"/>
        <w:rPr>
          <w:rFonts w:ascii="Verdana" w:hAnsi="Verdana"/>
          <w:sz w:val="20"/>
          <w:szCs w:val="20"/>
        </w:rPr>
      </w:pPr>
    </w:p>
    <w:p w14:paraId="2D19261D" w14:textId="77777777" w:rsidR="000976E9" w:rsidRPr="00AE4255" w:rsidRDefault="000976E9" w:rsidP="00AE4255">
      <w:pPr>
        <w:pStyle w:val="A-Lijn"/>
        <w:jc w:val="both"/>
        <w:rPr>
          <w:rFonts w:ascii="Verdana" w:hAnsi="Verdana"/>
          <w:sz w:val="20"/>
          <w:szCs w:val="20"/>
        </w:rPr>
      </w:pPr>
    </w:p>
    <w:p w14:paraId="38D7EB3F"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4E689904"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1DC31316" w14:textId="79D64A04" w:rsidR="000976E9" w:rsidRPr="00301372" w:rsidRDefault="0057445D" w:rsidP="00AE4255">
      <w:pPr>
        <w:pStyle w:val="A-Type"/>
        <w:jc w:val="both"/>
        <w:rPr>
          <w:rFonts w:ascii="Verdana" w:hAnsi="Verdana"/>
          <w:b w:val="0"/>
          <w:smallCaps w:val="0"/>
          <w:sz w:val="20"/>
          <w:szCs w:val="20"/>
        </w:rPr>
      </w:pPr>
      <w:r>
        <w:rPr>
          <w:rFonts w:ascii="Verdana" w:hAnsi="Verdana"/>
          <w:b w:val="0"/>
          <w:smallCaps w:val="0"/>
          <w:sz w:val="20"/>
          <w:szCs w:val="20"/>
        </w:rPr>
        <w:t xml:space="preserve">op vraag nr. </w:t>
      </w:r>
      <w:r w:rsidR="002139D0">
        <w:rPr>
          <w:rFonts w:ascii="Verdana" w:hAnsi="Verdana"/>
          <w:b w:val="0"/>
          <w:smallCaps w:val="0"/>
          <w:sz w:val="20"/>
          <w:szCs w:val="20"/>
        </w:rPr>
        <w:t>203</w:t>
      </w:r>
      <w:r w:rsidR="00FC79AC">
        <w:rPr>
          <w:rFonts w:ascii="Verdana" w:hAnsi="Verdana"/>
          <w:b w:val="0"/>
          <w:smallCaps w:val="0"/>
          <w:sz w:val="20"/>
          <w:szCs w:val="20"/>
        </w:rPr>
        <w:t xml:space="preserve"> </w:t>
      </w:r>
      <w:r w:rsidR="000976E9" w:rsidRPr="00AE4255">
        <w:rPr>
          <w:rFonts w:ascii="Verdana" w:hAnsi="Verdana"/>
          <w:b w:val="0"/>
          <w:smallCaps w:val="0"/>
          <w:sz w:val="20"/>
          <w:szCs w:val="20"/>
        </w:rPr>
        <w:t>van</w:t>
      </w:r>
      <w:r w:rsidR="00FC79AC">
        <w:rPr>
          <w:rFonts w:ascii="Verdana" w:hAnsi="Verdana"/>
          <w:b w:val="0"/>
          <w:smallCaps w:val="0"/>
          <w:sz w:val="20"/>
          <w:szCs w:val="20"/>
        </w:rPr>
        <w:t xml:space="preserve"> </w:t>
      </w:r>
      <w:r w:rsidR="002139D0">
        <w:rPr>
          <w:rFonts w:ascii="Verdana" w:hAnsi="Verdana"/>
          <w:b w:val="0"/>
          <w:smallCaps w:val="0"/>
          <w:sz w:val="20"/>
          <w:szCs w:val="20"/>
        </w:rPr>
        <w:t>9</w:t>
      </w:r>
      <w:r w:rsidR="000976E9" w:rsidRPr="00AE4255">
        <w:rPr>
          <w:rFonts w:ascii="Verdana" w:hAnsi="Verdana"/>
          <w:b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Content>
          <w:r w:rsidR="002139D0">
            <w:rPr>
              <w:rFonts w:ascii="Verdana" w:hAnsi="Verdana"/>
              <w:b w:val="0"/>
              <w:smallCaps w:val="0"/>
              <w:sz w:val="20"/>
              <w:szCs w:val="20"/>
            </w:rPr>
            <w:t>februari</w:t>
          </w:r>
        </w:sdtContent>
      </w:sdt>
      <w:r w:rsidR="002346BF">
        <w:rPr>
          <w:rFonts w:ascii="Verdana" w:hAnsi="Verdana"/>
          <w:b w:val="0"/>
          <w:smallCaps w:val="0"/>
          <w:sz w:val="20"/>
          <w:szCs w:val="20"/>
        </w:rPr>
        <w:t xml:space="preserve"> </w:t>
      </w:r>
      <w:r w:rsidR="00096762">
        <w:rPr>
          <w:rFonts w:ascii="Verdana" w:hAnsi="Verdana"/>
          <w:b w:val="0"/>
          <w:smallCaps w:val="0"/>
          <w:sz w:val="20"/>
          <w:szCs w:val="20"/>
        </w:rPr>
        <w:t>202</w:t>
      </w:r>
      <w:r w:rsidR="00C80CF6">
        <w:rPr>
          <w:rFonts w:ascii="Verdana" w:hAnsi="Verdana"/>
          <w:b w:val="0"/>
          <w:smallCaps w:val="0"/>
          <w:sz w:val="20"/>
          <w:szCs w:val="20"/>
        </w:rPr>
        <w:t>3</w:t>
      </w:r>
    </w:p>
    <w:p w14:paraId="5FBFE44B" w14:textId="7C3770CB" w:rsidR="000976E9" w:rsidRPr="00AE4255" w:rsidRDefault="000976E9" w:rsidP="00532932">
      <w:pPr>
        <w:pStyle w:val="A-NaamMinister"/>
        <w:jc w:val="both"/>
        <w:rPr>
          <w:rFonts w:ascii="Verdana" w:hAnsi="Verdana"/>
          <w:sz w:val="20"/>
          <w:szCs w:val="20"/>
        </w:rPr>
      </w:pPr>
      <w:r w:rsidRPr="00532932">
        <w:rPr>
          <w:rFonts w:ascii="Verdana" w:hAnsi="Verdana"/>
          <w:b w:val="0"/>
          <w:smallCaps w:val="0"/>
          <w:sz w:val="20"/>
          <w:szCs w:val="20"/>
        </w:rPr>
        <w:t>van</w:t>
      </w:r>
      <w:r w:rsidRPr="00AE4255">
        <w:rPr>
          <w:rFonts w:ascii="Verdana" w:hAnsi="Verdana"/>
          <w:sz w:val="20"/>
          <w:szCs w:val="20"/>
        </w:rPr>
        <w:t xml:space="preserve"> </w:t>
      </w:r>
      <w:proofErr w:type="spellStart"/>
      <w:r w:rsidR="002139D0">
        <w:rPr>
          <w:rFonts w:ascii="Verdana" w:hAnsi="Verdana"/>
          <w:sz w:val="20"/>
          <w:szCs w:val="20"/>
        </w:rPr>
        <w:t>mercedes</w:t>
      </w:r>
      <w:proofErr w:type="spellEnd"/>
      <w:r w:rsidR="002139D0">
        <w:rPr>
          <w:rFonts w:ascii="Verdana" w:hAnsi="Verdana"/>
          <w:sz w:val="20"/>
          <w:szCs w:val="20"/>
        </w:rPr>
        <w:t xml:space="preserve"> van </w:t>
      </w:r>
      <w:proofErr w:type="spellStart"/>
      <w:r w:rsidR="002139D0">
        <w:rPr>
          <w:rFonts w:ascii="Verdana" w:hAnsi="Verdana"/>
          <w:sz w:val="20"/>
          <w:szCs w:val="20"/>
        </w:rPr>
        <w:t>volcem</w:t>
      </w:r>
      <w:proofErr w:type="spellEnd"/>
    </w:p>
    <w:p w14:paraId="5FA5FF04" w14:textId="77777777" w:rsidR="00326A58" w:rsidRPr="00AE4255" w:rsidRDefault="00326A58" w:rsidP="00AE4255">
      <w:pPr>
        <w:jc w:val="both"/>
        <w:rPr>
          <w:rFonts w:ascii="Verdana" w:hAnsi="Verdana"/>
          <w:sz w:val="20"/>
          <w:szCs w:val="20"/>
        </w:rPr>
      </w:pPr>
    </w:p>
    <w:p w14:paraId="7E351A43" w14:textId="77777777" w:rsidR="000976E9" w:rsidRPr="00AE4255" w:rsidRDefault="000976E9" w:rsidP="00AE4255">
      <w:pPr>
        <w:pStyle w:val="A-Lijn"/>
        <w:jc w:val="both"/>
        <w:rPr>
          <w:rFonts w:ascii="Verdana" w:hAnsi="Verdana"/>
          <w:sz w:val="20"/>
          <w:szCs w:val="20"/>
        </w:rPr>
      </w:pPr>
    </w:p>
    <w:p w14:paraId="0C81590B"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4A16AF60" w14:textId="47010E34" w:rsidR="008150DC" w:rsidRDefault="008150DC" w:rsidP="008150DC">
      <w:pPr>
        <w:jc w:val="both"/>
        <w:rPr>
          <w:rFonts w:ascii="Verdana" w:hAnsi="Verdana"/>
          <w:sz w:val="20"/>
          <w:szCs w:val="20"/>
        </w:rPr>
      </w:pPr>
    </w:p>
    <w:p w14:paraId="246EFF23" w14:textId="0C130D95" w:rsidR="002139D0" w:rsidRPr="00EB6A00" w:rsidRDefault="009251BF" w:rsidP="009251BF">
      <w:pPr>
        <w:ind w:left="426" w:hanging="426"/>
        <w:jc w:val="both"/>
        <w:rPr>
          <w:rFonts w:ascii="Verdana" w:hAnsi="Verdana"/>
          <w:sz w:val="20"/>
          <w:szCs w:val="20"/>
          <w:lang w:val="nl-BE"/>
        </w:rPr>
      </w:pPr>
      <w:bookmarkStart w:id="0" w:name="_Hlk96085190"/>
      <w:r>
        <w:rPr>
          <w:rFonts w:ascii="Verdana" w:hAnsi="Verdana"/>
          <w:sz w:val="20"/>
          <w:szCs w:val="20"/>
        </w:rPr>
        <w:t>1</w:t>
      </w:r>
      <w:r w:rsidR="002139D0">
        <w:rPr>
          <w:rFonts w:ascii="Verdana" w:hAnsi="Verdana"/>
          <w:sz w:val="20"/>
          <w:szCs w:val="20"/>
        </w:rPr>
        <w:t>-2.</w:t>
      </w:r>
      <w:r>
        <w:rPr>
          <w:rFonts w:ascii="Verdana" w:hAnsi="Verdana"/>
          <w:sz w:val="20"/>
          <w:szCs w:val="20"/>
        </w:rPr>
        <w:tab/>
      </w:r>
      <w:r w:rsidR="002139D0">
        <w:rPr>
          <w:rFonts w:ascii="Verdana" w:hAnsi="Verdana"/>
          <w:sz w:val="20"/>
          <w:szCs w:val="20"/>
        </w:rPr>
        <w:t xml:space="preserve">Er werden in aanslagjaar 2022 </w:t>
      </w:r>
      <w:r w:rsidR="002139D0" w:rsidRPr="00355503">
        <w:rPr>
          <w:rFonts w:ascii="Verdana" w:hAnsi="Verdana"/>
          <w:sz w:val="20"/>
          <w:szCs w:val="20"/>
        </w:rPr>
        <w:t>16</w:t>
      </w:r>
      <w:r w:rsidR="001A34DD" w:rsidRPr="00355503">
        <w:rPr>
          <w:rFonts w:ascii="Verdana" w:hAnsi="Verdana"/>
          <w:sz w:val="20"/>
          <w:szCs w:val="20"/>
        </w:rPr>
        <w:t>5</w:t>
      </w:r>
      <w:r w:rsidR="002139D0" w:rsidRPr="00355503">
        <w:rPr>
          <w:rFonts w:ascii="Verdana" w:hAnsi="Verdana"/>
          <w:sz w:val="20"/>
          <w:szCs w:val="20"/>
        </w:rPr>
        <w:t>.</w:t>
      </w:r>
      <w:r w:rsidR="000E6BFD" w:rsidRPr="00355503">
        <w:rPr>
          <w:rFonts w:ascii="Verdana" w:hAnsi="Verdana"/>
          <w:sz w:val="20"/>
          <w:szCs w:val="20"/>
        </w:rPr>
        <w:t>799</w:t>
      </w:r>
      <w:r w:rsidR="002139D0" w:rsidRPr="00EB6A00">
        <w:rPr>
          <w:rFonts w:ascii="Verdana" w:hAnsi="Verdana"/>
          <w:sz w:val="20"/>
          <w:szCs w:val="20"/>
        </w:rPr>
        <w:t xml:space="preserve"> akten geregistreerd waarop het</w:t>
      </w:r>
      <w:r w:rsidR="002139D0">
        <w:rPr>
          <w:rFonts w:ascii="Verdana" w:hAnsi="Verdana"/>
          <w:sz w:val="20"/>
          <w:szCs w:val="20"/>
        </w:rPr>
        <w:t xml:space="preserve"> </w:t>
      </w:r>
      <w:r w:rsidR="002139D0" w:rsidRPr="00EB6A00">
        <w:rPr>
          <w:rFonts w:ascii="Verdana" w:hAnsi="Verdana"/>
          <w:sz w:val="20"/>
          <w:szCs w:val="20"/>
        </w:rPr>
        <w:t>verkooprecht werd geheven. In onderstaande tabel vindt u het aantal akten</w:t>
      </w:r>
      <w:r w:rsidR="002139D0">
        <w:rPr>
          <w:rFonts w:ascii="Verdana" w:hAnsi="Verdana"/>
          <w:sz w:val="20"/>
          <w:szCs w:val="20"/>
        </w:rPr>
        <w:t xml:space="preserve"> en </w:t>
      </w:r>
      <w:r w:rsidR="002139D0" w:rsidRPr="00EB6A00">
        <w:rPr>
          <w:rFonts w:ascii="Verdana" w:hAnsi="Verdana"/>
          <w:sz w:val="20"/>
          <w:szCs w:val="20"/>
        </w:rPr>
        <w:t xml:space="preserve">de verschuldigde rechten na verminderingen en vrijstellingen, opgedeeld </w:t>
      </w:r>
      <w:r w:rsidR="002139D0">
        <w:rPr>
          <w:rFonts w:ascii="Verdana" w:hAnsi="Verdana"/>
          <w:sz w:val="20"/>
          <w:szCs w:val="20"/>
        </w:rPr>
        <w:t>per transactietype</w:t>
      </w:r>
      <w:r w:rsidR="002139D0" w:rsidRPr="00EB6A00">
        <w:rPr>
          <w:rFonts w:ascii="Verdana" w:hAnsi="Verdana"/>
          <w:sz w:val="20"/>
          <w:szCs w:val="20"/>
        </w:rPr>
        <w:t>. In één akte kunnen meerdere transactietypes voorkomen.</w:t>
      </w:r>
    </w:p>
    <w:p w14:paraId="513EB4A9" w14:textId="77777777" w:rsidR="002139D0" w:rsidRDefault="002139D0" w:rsidP="002139D0">
      <w:pPr>
        <w:ind w:left="284"/>
        <w:jc w:val="both"/>
        <w:rPr>
          <w:rFonts w:ascii="Verdana" w:hAnsi="Verdana"/>
          <w:sz w:val="20"/>
          <w:szCs w:val="20"/>
        </w:rPr>
      </w:pPr>
    </w:p>
    <w:tbl>
      <w:tblPr>
        <w:tblStyle w:val="Tabelraster"/>
        <w:tblW w:w="9067" w:type="dxa"/>
        <w:tblLook w:val="04A0" w:firstRow="1" w:lastRow="0" w:firstColumn="1" w:lastColumn="0" w:noHBand="0" w:noVBand="1"/>
      </w:tblPr>
      <w:tblGrid>
        <w:gridCol w:w="5665"/>
        <w:gridCol w:w="1333"/>
        <w:gridCol w:w="2069"/>
      </w:tblGrid>
      <w:tr w:rsidR="002139D0" w:rsidRPr="00055A23" w14:paraId="18363DF7" w14:textId="77777777" w:rsidTr="004F5F5B">
        <w:trPr>
          <w:trHeight w:val="288"/>
        </w:trPr>
        <w:tc>
          <w:tcPr>
            <w:tcW w:w="5665" w:type="dxa"/>
            <w:noWrap/>
            <w:hideMark/>
          </w:tcPr>
          <w:p w14:paraId="6DA59427" w14:textId="77777777" w:rsidR="002139D0" w:rsidRPr="00055A23" w:rsidRDefault="002139D0" w:rsidP="004F5F5B">
            <w:pPr>
              <w:rPr>
                <w:rFonts w:ascii="Verdana" w:hAnsi="Verdana"/>
                <w:b/>
                <w:bCs/>
                <w:sz w:val="18"/>
                <w:szCs w:val="18"/>
              </w:rPr>
            </w:pPr>
            <w:r w:rsidRPr="00055A23">
              <w:rPr>
                <w:rFonts w:ascii="Verdana" w:hAnsi="Verdana"/>
                <w:b/>
                <w:bCs/>
                <w:sz w:val="18"/>
                <w:szCs w:val="18"/>
              </w:rPr>
              <w:t>Transactietype</w:t>
            </w:r>
          </w:p>
        </w:tc>
        <w:tc>
          <w:tcPr>
            <w:tcW w:w="1333" w:type="dxa"/>
            <w:noWrap/>
            <w:hideMark/>
          </w:tcPr>
          <w:p w14:paraId="0431976E" w14:textId="77777777" w:rsidR="002139D0" w:rsidRPr="00055A23" w:rsidRDefault="002139D0" w:rsidP="004F5F5B">
            <w:pPr>
              <w:ind w:left="284"/>
              <w:jc w:val="right"/>
              <w:rPr>
                <w:rFonts w:ascii="Verdana" w:hAnsi="Verdana"/>
                <w:b/>
                <w:bCs/>
                <w:sz w:val="18"/>
                <w:szCs w:val="18"/>
              </w:rPr>
            </w:pPr>
            <w:r w:rsidRPr="00055A23">
              <w:rPr>
                <w:rFonts w:ascii="Verdana" w:hAnsi="Verdana"/>
                <w:b/>
                <w:bCs/>
                <w:sz w:val="18"/>
                <w:szCs w:val="18"/>
              </w:rPr>
              <w:t>Aantal akten</w:t>
            </w:r>
          </w:p>
        </w:tc>
        <w:tc>
          <w:tcPr>
            <w:tcW w:w="2069" w:type="dxa"/>
            <w:noWrap/>
            <w:hideMark/>
          </w:tcPr>
          <w:p w14:paraId="7D8B02CA" w14:textId="77777777" w:rsidR="002139D0" w:rsidRPr="00055A23" w:rsidRDefault="002139D0" w:rsidP="004F5F5B">
            <w:pPr>
              <w:ind w:left="284"/>
              <w:jc w:val="right"/>
              <w:rPr>
                <w:rFonts w:ascii="Verdana" w:hAnsi="Verdana"/>
                <w:b/>
                <w:bCs/>
                <w:sz w:val="18"/>
                <w:szCs w:val="18"/>
              </w:rPr>
            </w:pPr>
            <w:r w:rsidRPr="00055A23">
              <w:rPr>
                <w:rFonts w:ascii="Verdana" w:hAnsi="Verdana"/>
                <w:b/>
                <w:bCs/>
                <w:sz w:val="18"/>
                <w:szCs w:val="18"/>
              </w:rPr>
              <w:t xml:space="preserve">Verschuldigde rechten </w:t>
            </w:r>
          </w:p>
          <w:p w14:paraId="58F7098D" w14:textId="77777777" w:rsidR="002139D0" w:rsidRPr="00055A23" w:rsidRDefault="002139D0" w:rsidP="004F5F5B">
            <w:pPr>
              <w:ind w:left="284"/>
              <w:jc w:val="right"/>
              <w:rPr>
                <w:rFonts w:ascii="Verdana" w:hAnsi="Verdana"/>
                <w:b/>
                <w:bCs/>
                <w:sz w:val="18"/>
                <w:szCs w:val="18"/>
              </w:rPr>
            </w:pPr>
            <w:r w:rsidRPr="00055A23">
              <w:rPr>
                <w:rFonts w:ascii="Verdana" w:hAnsi="Verdana"/>
                <w:b/>
                <w:bCs/>
                <w:sz w:val="18"/>
                <w:szCs w:val="18"/>
              </w:rPr>
              <w:t xml:space="preserve">(in euro) </w:t>
            </w:r>
          </w:p>
        </w:tc>
      </w:tr>
      <w:tr w:rsidR="00055A23" w:rsidRPr="00055A23" w14:paraId="08D05D61" w14:textId="77777777" w:rsidTr="004F5F5B">
        <w:trPr>
          <w:trHeight w:val="288"/>
        </w:trPr>
        <w:tc>
          <w:tcPr>
            <w:tcW w:w="5665" w:type="dxa"/>
            <w:noWrap/>
            <w:vAlign w:val="center"/>
            <w:hideMark/>
          </w:tcPr>
          <w:p w14:paraId="73F3FB1A" w14:textId="77777777" w:rsidR="00055A23" w:rsidRPr="00055A23" w:rsidRDefault="00055A23" w:rsidP="00055A23">
            <w:pPr>
              <w:rPr>
                <w:rFonts w:ascii="Verdana" w:hAnsi="Verdana"/>
                <w:sz w:val="18"/>
                <w:szCs w:val="18"/>
              </w:rPr>
            </w:pPr>
            <w:bookmarkStart w:id="1" w:name="_Hlk96590132"/>
            <w:r w:rsidRPr="00055A23">
              <w:rPr>
                <w:rFonts w:ascii="Verdana" w:hAnsi="Verdana"/>
                <w:sz w:val="18"/>
                <w:szCs w:val="18"/>
              </w:rPr>
              <w:t>Ruil 10%</w:t>
            </w:r>
          </w:p>
        </w:tc>
        <w:tc>
          <w:tcPr>
            <w:tcW w:w="1333" w:type="dxa"/>
            <w:shd w:val="clear" w:color="auto" w:fill="auto"/>
            <w:noWrap/>
            <w:vAlign w:val="center"/>
          </w:tcPr>
          <w:p w14:paraId="71F5147F" w14:textId="5AA29FA6" w:rsidR="00055A23" w:rsidRPr="00055A23" w:rsidRDefault="00055A23" w:rsidP="00055A23">
            <w:pPr>
              <w:ind w:left="284"/>
              <w:jc w:val="right"/>
              <w:rPr>
                <w:rFonts w:ascii="Verdana" w:hAnsi="Verdana"/>
                <w:sz w:val="18"/>
                <w:szCs w:val="18"/>
              </w:rPr>
            </w:pPr>
            <w:r w:rsidRPr="00055A23">
              <w:rPr>
                <w:rFonts w:ascii="Verdana" w:hAnsi="Verdana" w:cs="Calibri"/>
                <w:color w:val="000000"/>
                <w:sz w:val="18"/>
                <w:szCs w:val="18"/>
              </w:rPr>
              <w:t>187</w:t>
            </w:r>
          </w:p>
        </w:tc>
        <w:tc>
          <w:tcPr>
            <w:tcW w:w="2069" w:type="dxa"/>
            <w:shd w:val="clear" w:color="auto" w:fill="auto"/>
            <w:noWrap/>
            <w:vAlign w:val="center"/>
          </w:tcPr>
          <w:p w14:paraId="6220364F" w14:textId="6933CA0B" w:rsidR="00055A23" w:rsidRPr="00055A23" w:rsidRDefault="00055A23" w:rsidP="00055A23">
            <w:pPr>
              <w:ind w:left="284"/>
              <w:jc w:val="right"/>
              <w:rPr>
                <w:rFonts w:ascii="Verdana" w:hAnsi="Verdana"/>
                <w:sz w:val="18"/>
                <w:szCs w:val="18"/>
              </w:rPr>
            </w:pPr>
            <w:r w:rsidRPr="00055A23">
              <w:rPr>
                <w:rFonts w:ascii="Verdana" w:hAnsi="Verdana" w:cs="Calibri"/>
                <w:color w:val="000000"/>
                <w:sz w:val="18"/>
                <w:szCs w:val="18"/>
              </w:rPr>
              <w:t>1.564.147</w:t>
            </w:r>
          </w:p>
        </w:tc>
      </w:tr>
      <w:tr w:rsidR="00055A23" w:rsidRPr="00B17AE6" w14:paraId="48A4866C" w14:textId="77777777" w:rsidTr="004F5F5B">
        <w:trPr>
          <w:trHeight w:val="288"/>
        </w:trPr>
        <w:tc>
          <w:tcPr>
            <w:tcW w:w="5665" w:type="dxa"/>
            <w:noWrap/>
            <w:vAlign w:val="center"/>
            <w:hideMark/>
          </w:tcPr>
          <w:p w14:paraId="3C9AFC33" w14:textId="50BDB790" w:rsidR="00055A23" w:rsidRPr="00B17AE6" w:rsidRDefault="00055A23" w:rsidP="00055A23">
            <w:pPr>
              <w:rPr>
                <w:rFonts w:ascii="Verdana" w:hAnsi="Verdana"/>
                <w:sz w:val="18"/>
                <w:szCs w:val="18"/>
              </w:rPr>
            </w:pPr>
            <w:r w:rsidRPr="00B17AE6">
              <w:rPr>
                <w:rFonts w:ascii="Verdana" w:hAnsi="Verdana"/>
                <w:sz w:val="18"/>
                <w:szCs w:val="18"/>
              </w:rPr>
              <w:t>Ruil 12%</w:t>
            </w:r>
          </w:p>
        </w:tc>
        <w:tc>
          <w:tcPr>
            <w:tcW w:w="1333" w:type="dxa"/>
            <w:shd w:val="clear" w:color="auto" w:fill="auto"/>
            <w:noWrap/>
            <w:vAlign w:val="center"/>
          </w:tcPr>
          <w:p w14:paraId="20C9FF94" w14:textId="16B458D5"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513</w:t>
            </w:r>
          </w:p>
        </w:tc>
        <w:tc>
          <w:tcPr>
            <w:tcW w:w="2069" w:type="dxa"/>
            <w:shd w:val="clear" w:color="auto" w:fill="auto"/>
            <w:noWrap/>
            <w:vAlign w:val="center"/>
          </w:tcPr>
          <w:p w14:paraId="005E9C73" w14:textId="19FD6BF6"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2.956.885</w:t>
            </w:r>
          </w:p>
        </w:tc>
      </w:tr>
      <w:tr w:rsidR="00055A23" w:rsidRPr="00B17AE6" w14:paraId="7F08F634" w14:textId="77777777" w:rsidTr="004F5F5B">
        <w:trPr>
          <w:trHeight w:val="288"/>
        </w:trPr>
        <w:tc>
          <w:tcPr>
            <w:tcW w:w="5665" w:type="dxa"/>
            <w:noWrap/>
            <w:vAlign w:val="center"/>
          </w:tcPr>
          <w:p w14:paraId="44FB5191" w14:textId="4951DC7E" w:rsidR="00055A23" w:rsidRPr="00B17AE6" w:rsidRDefault="00055A23" w:rsidP="00055A23">
            <w:pPr>
              <w:rPr>
                <w:rFonts w:ascii="Verdana" w:hAnsi="Verdana"/>
                <w:sz w:val="18"/>
                <w:szCs w:val="18"/>
              </w:rPr>
            </w:pPr>
            <w:r w:rsidRPr="00B17AE6">
              <w:rPr>
                <w:rFonts w:ascii="Verdana" w:hAnsi="Verdana"/>
                <w:sz w:val="18"/>
                <w:szCs w:val="18"/>
              </w:rPr>
              <w:t>Ruil 4%</w:t>
            </w:r>
          </w:p>
        </w:tc>
        <w:tc>
          <w:tcPr>
            <w:tcW w:w="1333" w:type="dxa"/>
            <w:shd w:val="clear" w:color="auto" w:fill="auto"/>
            <w:noWrap/>
            <w:vAlign w:val="center"/>
          </w:tcPr>
          <w:p w14:paraId="78750D6D" w14:textId="3F625CD1"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23</w:t>
            </w:r>
          </w:p>
        </w:tc>
        <w:tc>
          <w:tcPr>
            <w:tcW w:w="2069" w:type="dxa"/>
            <w:shd w:val="clear" w:color="auto" w:fill="auto"/>
            <w:noWrap/>
            <w:vAlign w:val="center"/>
          </w:tcPr>
          <w:p w14:paraId="3D910210" w14:textId="0D758DC5"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205.528</w:t>
            </w:r>
          </w:p>
        </w:tc>
      </w:tr>
      <w:tr w:rsidR="00055A23" w:rsidRPr="00B17AE6" w14:paraId="4BF6A010" w14:textId="77777777" w:rsidTr="004F5F5B">
        <w:trPr>
          <w:trHeight w:val="288"/>
        </w:trPr>
        <w:tc>
          <w:tcPr>
            <w:tcW w:w="5665" w:type="dxa"/>
            <w:noWrap/>
            <w:vAlign w:val="center"/>
            <w:hideMark/>
          </w:tcPr>
          <w:p w14:paraId="6AC5C23D" w14:textId="40F549EE" w:rsidR="00055A23" w:rsidRPr="00B17AE6" w:rsidRDefault="00055A23" w:rsidP="00055A23">
            <w:pPr>
              <w:rPr>
                <w:rFonts w:ascii="Verdana" w:hAnsi="Verdana"/>
                <w:sz w:val="18"/>
                <w:szCs w:val="18"/>
              </w:rPr>
            </w:pPr>
            <w:r w:rsidRPr="00B17AE6">
              <w:rPr>
                <w:rFonts w:ascii="Verdana" w:hAnsi="Verdana"/>
                <w:sz w:val="18"/>
                <w:szCs w:val="18"/>
              </w:rPr>
              <w:t>Ruil onbebouwde landgoederen 6%</w:t>
            </w:r>
          </w:p>
        </w:tc>
        <w:tc>
          <w:tcPr>
            <w:tcW w:w="1333" w:type="dxa"/>
            <w:shd w:val="clear" w:color="auto" w:fill="auto"/>
            <w:noWrap/>
            <w:vAlign w:val="center"/>
          </w:tcPr>
          <w:p w14:paraId="3FB980B1" w14:textId="251B12CC" w:rsidR="00055A23" w:rsidRPr="00B17AE6" w:rsidRDefault="005E2A3C" w:rsidP="00055A23">
            <w:pPr>
              <w:ind w:left="284"/>
              <w:jc w:val="right"/>
              <w:rPr>
                <w:rFonts w:ascii="Verdana" w:hAnsi="Verdana"/>
                <w:sz w:val="18"/>
                <w:szCs w:val="18"/>
              </w:rPr>
            </w:pPr>
            <w:r w:rsidRPr="00B17AE6">
              <w:rPr>
                <w:rFonts w:ascii="Verdana" w:hAnsi="Verdana" w:cs="Calibri"/>
                <w:color w:val="000000"/>
                <w:sz w:val="18"/>
                <w:szCs w:val="18"/>
              </w:rPr>
              <w:t>24</w:t>
            </w:r>
          </w:p>
        </w:tc>
        <w:tc>
          <w:tcPr>
            <w:tcW w:w="2069" w:type="dxa"/>
            <w:shd w:val="clear" w:color="auto" w:fill="auto"/>
            <w:noWrap/>
            <w:vAlign w:val="center"/>
          </w:tcPr>
          <w:p w14:paraId="4A8ADABF" w14:textId="1AACE53E" w:rsidR="00055A23" w:rsidRPr="00B17AE6" w:rsidRDefault="005E2A3C" w:rsidP="00055A23">
            <w:pPr>
              <w:ind w:left="284"/>
              <w:jc w:val="right"/>
              <w:rPr>
                <w:rFonts w:ascii="Verdana" w:hAnsi="Verdana"/>
                <w:sz w:val="18"/>
                <w:szCs w:val="18"/>
              </w:rPr>
            </w:pPr>
            <w:r w:rsidRPr="00B17AE6">
              <w:rPr>
                <w:rFonts w:ascii="Verdana" w:hAnsi="Verdana" w:cs="Calibri"/>
                <w:color w:val="000000"/>
                <w:sz w:val="18"/>
                <w:szCs w:val="18"/>
              </w:rPr>
              <w:t>8.098</w:t>
            </w:r>
          </w:p>
        </w:tc>
      </w:tr>
      <w:tr w:rsidR="00055A23" w:rsidRPr="00B17AE6" w14:paraId="7C3D1511" w14:textId="77777777" w:rsidTr="004F5F5B">
        <w:trPr>
          <w:trHeight w:val="288"/>
        </w:trPr>
        <w:tc>
          <w:tcPr>
            <w:tcW w:w="5665" w:type="dxa"/>
            <w:noWrap/>
            <w:vAlign w:val="center"/>
            <w:hideMark/>
          </w:tcPr>
          <w:p w14:paraId="4F675503" w14:textId="1D220123" w:rsidR="00055A23" w:rsidRPr="00B17AE6" w:rsidRDefault="00055A23" w:rsidP="00055A23">
            <w:pPr>
              <w:rPr>
                <w:rFonts w:ascii="Verdana" w:hAnsi="Verdana"/>
                <w:sz w:val="18"/>
                <w:szCs w:val="18"/>
              </w:rPr>
            </w:pPr>
            <w:r w:rsidRPr="00B17AE6">
              <w:rPr>
                <w:rFonts w:ascii="Verdana" w:hAnsi="Verdana"/>
                <w:sz w:val="18"/>
                <w:szCs w:val="18"/>
              </w:rPr>
              <w:t>Verkoop 1,5% - sociaal tarief</w:t>
            </w:r>
          </w:p>
        </w:tc>
        <w:tc>
          <w:tcPr>
            <w:tcW w:w="1333" w:type="dxa"/>
            <w:shd w:val="clear" w:color="auto" w:fill="auto"/>
            <w:noWrap/>
            <w:vAlign w:val="center"/>
          </w:tcPr>
          <w:p w14:paraId="4A352DB4" w14:textId="25106505"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158</w:t>
            </w:r>
          </w:p>
        </w:tc>
        <w:tc>
          <w:tcPr>
            <w:tcW w:w="2069" w:type="dxa"/>
            <w:shd w:val="clear" w:color="auto" w:fill="auto"/>
            <w:noWrap/>
            <w:vAlign w:val="center"/>
          </w:tcPr>
          <w:p w14:paraId="75273585" w14:textId="58F26ADA"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430.933</w:t>
            </w:r>
          </w:p>
        </w:tc>
      </w:tr>
      <w:tr w:rsidR="00055A23" w:rsidRPr="00B17AE6" w14:paraId="289CAE53" w14:textId="77777777" w:rsidTr="004F5F5B">
        <w:trPr>
          <w:trHeight w:val="288"/>
        </w:trPr>
        <w:tc>
          <w:tcPr>
            <w:tcW w:w="5665" w:type="dxa"/>
            <w:noWrap/>
            <w:vAlign w:val="center"/>
            <w:hideMark/>
          </w:tcPr>
          <w:p w14:paraId="4E5E20CA" w14:textId="77777777" w:rsidR="00055A23" w:rsidRPr="00B17AE6" w:rsidRDefault="00055A23" w:rsidP="00055A23">
            <w:pPr>
              <w:rPr>
                <w:rFonts w:ascii="Verdana" w:hAnsi="Verdana"/>
                <w:sz w:val="18"/>
                <w:szCs w:val="18"/>
              </w:rPr>
            </w:pPr>
            <w:r w:rsidRPr="00B17AE6">
              <w:rPr>
                <w:rFonts w:ascii="Verdana" w:hAnsi="Verdana"/>
                <w:sz w:val="18"/>
                <w:szCs w:val="18"/>
              </w:rPr>
              <w:t>Verkoop 10% - gewoon tarief</w:t>
            </w:r>
          </w:p>
        </w:tc>
        <w:tc>
          <w:tcPr>
            <w:tcW w:w="1333" w:type="dxa"/>
            <w:shd w:val="clear" w:color="auto" w:fill="auto"/>
            <w:noWrap/>
            <w:vAlign w:val="center"/>
          </w:tcPr>
          <w:p w14:paraId="0C1CC9B7" w14:textId="75E339C9"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29.87</w:t>
            </w:r>
            <w:r w:rsidR="005E2A3C" w:rsidRPr="00B17AE6">
              <w:rPr>
                <w:rFonts w:ascii="Verdana" w:hAnsi="Verdana" w:cs="Calibri"/>
                <w:color w:val="000000"/>
                <w:sz w:val="18"/>
                <w:szCs w:val="18"/>
              </w:rPr>
              <w:t>6</w:t>
            </w:r>
          </w:p>
        </w:tc>
        <w:tc>
          <w:tcPr>
            <w:tcW w:w="2069" w:type="dxa"/>
            <w:shd w:val="clear" w:color="auto" w:fill="auto"/>
            <w:noWrap/>
            <w:vAlign w:val="center"/>
          </w:tcPr>
          <w:p w14:paraId="47732D46" w14:textId="292CD20D"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641.17</w:t>
            </w:r>
            <w:r w:rsidR="005E2A3C" w:rsidRPr="00B17AE6">
              <w:rPr>
                <w:rFonts w:ascii="Verdana" w:hAnsi="Verdana" w:cs="Calibri"/>
                <w:color w:val="000000"/>
                <w:sz w:val="18"/>
                <w:szCs w:val="18"/>
              </w:rPr>
              <w:t>8.373</w:t>
            </w:r>
          </w:p>
        </w:tc>
      </w:tr>
      <w:tr w:rsidR="00055A23" w:rsidRPr="00B17AE6" w14:paraId="1CFC6632" w14:textId="77777777" w:rsidTr="004F5F5B">
        <w:trPr>
          <w:trHeight w:val="288"/>
        </w:trPr>
        <w:tc>
          <w:tcPr>
            <w:tcW w:w="5665" w:type="dxa"/>
            <w:noWrap/>
            <w:vAlign w:val="center"/>
          </w:tcPr>
          <w:p w14:paraId="1971E35B" w14:textId="4350F808" w:rsidR="00055A23" w:rsidRPr="00B17AE6" w:rsidRDefault="00055A23" w:rsidP="00055A23">
            <w:pPr>
              <w:rPr>
                <w:rFonts w:ascii="Verdana" w:hAnsi="Verdana"/>
                <w:sz w:val="18"/>
                <w:szCs w:val="18"/>
              </w:rPr>
            </w:pPr>
            <w:r w:rsidRPr="00B17AE6">
              <w:rPr>
                <w:rFonts w:ascii="Verdana" w:hAnsi="Verdana"/>
                <w:sz w:val="18"/>
                <w:szCs w:val="18"/>
              </w:rPr>
              <w:t>Verkoop 12% - gewoon tarief</w:t>
            </w:r>
          </w:p>
        </w:tc>
        <w:tc>
          <w:tcPr>
            <w:tcW w:w="1333" w:type="dxa"/>
            <w:shd w:val="clear" w:color="auto" w:fill="auto"/>
            <w:noWrap/>
            <w:vAlign w:val="center"/>
          </w:tcPr>
          <w:p w14:paraId="412BD5ED" w14:textId="7EB53835"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60.576</w:t>
            </w:r>
          </w:p>
        </w:tc>
        <w:tc>
          <w:tcPr>
            <w:tcW w:w="2069" w:type="dxa"/>
            <w:shd w:val="clear" w:color="auto" w:fill="auto"/>
            <w:noWrap/>
            <w:vAlign w:val="center"/>
          </w:tcPr>
          <w:p w14:paraId="49BAC3F5" w14:textId="663CDDE2"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1.287.890.215</w:t>
            </w:r>
          </w:p>
        </w:tc>
      </w:tr>
      <w:tr w:rsidR="00055A23" w:rsidRPr="00B17AE6" w14:paraId="49F61A70" w14:textId="77777777" w:rsidTr="004F5F5B">
        <w:trPr>
          <w:trHeight w:val="288"/>
        </w:trPr>
        <w:tc>
          <w:tcPr>
            <w:tcW w:w="5665" w:type="dxa"/>
            <w:noWrap/>
            <w:vAlign w:val="center"/>
            <w:hideMark/>
          </w:tcPr>
          <w:p w14:paraId="1DD85C1A" w14:textId="77777777" w:rsidR="00055A23" w:rsidRPr="00B17AE6" w:rsidRDefault="00055A23" w:rsidP="00055A23">
            <w:pPr>
              <w:rPr>
                <w:rFonts w:ascii="Verdana" w:hAnsi="Verdana"/>
                <w:sz w:val="18"/>
                <w:szCs w:val="18"/>
              </w:rPr>
            </w:pPr>
            <w:r w:rsidRPr="00B17AE6">
              <w:rPr>
                <w:rFonts w:ascii="Verdana" w:hAnsi="Verdana"/>
                <w:sz w:val="18"/>
                <w:szCs w:val="18"/>
              </w:rPr>
              <w:t>Verkoop 12,5% - oud verkooprecht</w:t>
            </w:r>
          </w:p>
        </w:tc>
        <w:tc>
          <w:tcPr>
            <w:tcW w:w="1333" w:type="dxa"/>
            <w:shd w:val="clear" w:color="auto" w:fill="auto"/>
            <w:noWrap/>
            <w:vAlign w:val="center"/>
          </w:tcPr>
          <w:p w14:paraId="105222E5" w14:textId="29E50DC0"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68</w:t>
            </w:r>
          </w:p>
        </w:tc>
        <w:tc>
          <w:tcPr>
            <w:tcW w:w="2069" w:type="dxa"/>
            <w:shd w:val="clear" w:color="auto" w:fill="auto"/>
            <w:noWrap/>
            <w:vAlign w:val="center"/>
          </w:tcPr>
          <w:p w14:paraId="3A116FAD" w14:textId="28EE90B1"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849.933</w:t>
            </w:r>
          </w:p>
        </w:tc>
      </w:tr>
      <w:tr w:rsidR="00055A23" w:rsidRPr="00B17AE6" w14:paraId="56DD8C93" w14:textId="77777777" w:rsidTr="004F5F5B">
        <w:trPr>
          <w:trHeight w:val="288"/>
        </w:trPr>
        <w:tc>
          <w:tcPr>
            <w:tcW w:w="5665" w:type="dxa"/>
            <w:noWrap/>
            <w:vAlign w:val="center"/>
            <w:hideMark/>
          </w:tcPr>
          <w:p w14:paraId="01610552" w14:textId="3C924EBE" w:rsidR="00055A23" w:rsidRPr="00B17AE6" w:rsidRDefault="00055A23" w:rsidP="00055A23">
            <w:pPr>
              <w:rPr>
                <w:rFonts w:ascii="Verdana" w:hAnsi="Verdana"/>
                <w:sz w:val="18"/>
                <w:szCs w:val="18"/>
              </w:rPr>
            </w:pPr>
            <w:r w:rsidRPr="00B17AE6">
              <w:rPr>
                <w:rFonts w:ascii="Verdana" w:hAnsi="Verdana"/>
                <w:sz w:val="18"/>
                <w:szCs w:val="18"/>
              </w:rPr>
              <w:t>Verkoop 4% - beroepskopers</w:t>
            </w:r>
          </w:p>
        </w:tc>
        <w:tc>
          <w:tcPr>
            <w:tcW w:w="1333" w:type="dxa"/>
            <w:shd w:val="clear" w:color="auto" w:fill="auto"/>
            <w:noWrap/>
            <w:vAlign w:val="center"/>
          </w:tcPr>
          <w:p w14:paraId="0215CAF9" w14:textId="25A65344"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5.923</w:t>
            </w:r>
          </w:p>
        </w:tc>
        <w:tc>
          <w:tcPr>
            <w:tcW w:w="2069" w:type="dxa"/>
            <w:shd w:val="clear" w:color="auto" w:fill="auto"/>
            <w:noWrap/>
            <w:vAlign w:val="center"/>
          </w:tcPr>
          <w:p w14:paraId="19185E12" w14:textId="4D6903A5"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129.222.049</w:t>
            </w:r>
          </w:p>
        </w:tc>
      </w:tr>
      <w:tr w:rsidR="00055A23" w:rsidRPr="00B17AE6" w14:paraId="055E8FEE" w14:textId="77777777" w:rsidTr="004F5F5B">
        <w:trPr>
          <w:trHeight w:val="288"/>
        </w:trPr>
        <w:tc>
          <w:tcPr>
            <w:tcW w:w="5665" w:type="dxa"/>
            <w:noWrap/>
            <w:vAlign w:val="center"/>
            <w:hideMark/>
          </w:tcPr>
          <w:p w14:paraId="0C66BF28" w14:textId="77777777" w:rsidR="00055A23" w:rsidRPr="00B17AE6" w:rsidRDefault="00055A23" w:rsidP="00055A23">
            <w:pPr>
              <w:rPr>
                <w:rFonts w:ascii="Verdana" w:hAnsi="Verdana"/>
                <w:sz w:val="18"/>
                <w:szCs w:val="18"/>
              </w:rPr>
            </w:pPr>
            <w:r w:rsidRPr="00B17AE6">
              <w:rPr>
                <w:rFonts w:ascii="Verdana" w:hAnsi="Verdana"/>
                <w:sz w:val="18"/>
                <w:szCs w:val="18"/>
              </w:rPr>
              <w:t>Verkoop 5% - klein beschrijf</w:t>
            </w:r>
          </w:p>
        </w:tc>
        <w:tc>
          <w:tcPr>
            <w:tcW w:w="1333" w:type="dxa"/>
            <w:shd w:val="clear" w:color="auto" w:fill="auto"/>
            <w:noWrap/>
            <w:vAlign w:val="center"/>
          </w:tcPr>
          <w:p w14:paraId="5CC011EF" w14:textId="096D9AF3"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16</w:t>
            </w:r>
          </w:p>
        </w:tc>
        <w:tc>
          <w:tcPr>
            <w:tcW w:w="2069" w:type="dxa"/>
            <w:shd w:val="clear" w:color="auto" w:fill="auto"/>
            <w:noWrap/>
            <w:vAlign w:val="center"/>
          </w:tcPr>
          <w:p w14:paraId="4F7CE4B3" w14:textId="4F3B03A4"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106.184</w:t>
            </w:r>
          </w:p>
        </w:tc>
      </w:tr>
      <w:tr w:rsidR="00055A23" w:rsidRPr="00B17AE6" w14:paraId="175DEF1C" w14:textId="77777777" w:rsidTr="004F5F5B">
        <w:trPr>
          <w:trHeight w:val="288"/>
        </w:trPr>
        <w:tc>
          <w:tcPr>
            <w:tcW w:w="5665" w:type="dxa"/>
            <w:noWrap/>
            <w:vAlign w:val="center"/>
            <w:hideMark/>
          </w:tcPr>
          <w:p w14:paraId="17C45C54" w14:textId="77777777" w:rsidR="00055A23" w:rsidRPr="00B17AE6" w:rsidRDefault="00055A23" w:rsidP="00055A23">
            <w:pPr>
              <w:rPr>
                <w:rFonts w:ascii="Verdana" w:hAnsi="Verdana"/>
                <w:sz w:val="18"/>
                <w:szCs w:val="18"/>
              </w:rPr>
            </w:pPr>
            <w:r w:rsidRPr="00B17AE6">
              <w:rPr>
                <w:rFonts w:ascii="Verdana" w:hAnsi="Verdana"/>
                <w:sz w:val="18"/>
                <w:szCs w:val="18"/>
              </w:rPr>
              <w:t>Verkoop 6% - oud tarief klein beschrijf</w:t>
            </w:r>
          </w:p>
        </w:tc>
        <w:tc>
          <w:tcPr>
            <w:tcW w:w="1333" w:type="dxa"/>
            <w:shd w:val="clear" w:color="auto" w:fill="auto"/>
            <w:noWrap/>
            <w:vAlign w:val="center"/>
          </w:tcPr>
          <w:p w14:paraId="6316C533" w14:textId="0A6D6958"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55</w:t>
            </w:r>
          </w:p>
        </w:tc>
        <w:tc>
          <w:tcPr>
            <w:tcW w:w="2069" w:type="dxa"/>
            <w:shd w:val="clear" w:color="auto" w:fill="auto"/>
            <w:noWrap/>
            <w:vAlign w:val="center"/>
          </w:tcPr>
          <w:p w14:paraId="7B9828B0" w14:textId="16472E03"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268.390</w:t>
            </w:r>
          </w:p>
        </w:tc>
      </w:tr>
      <w:tr w:rsidR="00055A23" w:rsidRPr="00B17AE6" w14:paraId="5B538D7B" w14:textId="77777777" w:rsidTr="004F5F5B">
        <w:trPr>
          <w:trHeight w:val="288"/>
        </w:trPr>
        <w:tc>
          <w:tcPr>
            <w:tcW w:w="5665" w:type="dxa"/>
            <w:noWrap/>
            <w:vAlign w:val="center"/>
            <w:hideMark/>
          </w:tcPr>
          <w:p w14:paraId="09AAD2BA" w14:textId="77777777" w:rsidR="00055A23" w:rsidRPr="00B17AE6" w:rsidRDefault="00055A23" w:rsidP="00055A23">
            <w:pPr>
              <w:rPr>
                <w:rFonts w:ascii="Verdana" w:hAnsi="Verdana"/>
                <w:sz w:val="18"/>
                <w:szCs w:val="18"/>
              </w:rPr>
            </w:pPr>
            <w:r w:rsidRPr="00B17AE6">
              <w:rPr>
                <w:rFonts w:ascii="Verdana" w:hAnsi="Verdana"/>
                <w:sz w:val="18"/>
                <w:szCs w:val="18"/>
              </w:rPr>
              <w:t>Verkoop inbreng</w:t>
            </w:r>
          </w:p>
        </w:tc>
        <w:tc>
          <w:tcPr>
            <w:tcW w:w="1333" w:type="dxa"/>
            <w:shd w:val="clear" w:color="auto" w:fill="auto"/>
            <w:noWrap/>
            <w:vAlign w:val="center"/>
          </w:tcPr>
          <w:p w14:paraId="7962DCF8" w14:textId="22696770"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4</w:t>
            </w:r>
          </w:p>
        </w:tc>
        <w:tc>
          <w:tcPr>
            <w:tcW w:w="2069" w:type="dxa"/>
            <w:shd w:val="clear" w:color="auto" w:fill="auto"/>
            <w:noWrap/>
            <w:vAlign w:val="center"/>
          </w:tcPr>
          <w:p w14:paraId="60C40729" w14:textId="3DE17F4D"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w:t>
            </w:r>
          </w:p>
        </w:tc>
      </w:tr>
      <w:tr w:rsidR="00055A23" w:rsidRPr="00B17AE6" w14:paraId="7C7ED78B" w14:textId="77777777" w:rsidTr="004F5F5B">
        <w:trPr>
          <w:trHeight w:val="288"/>
        </w:trPr>
        <w:tc>
          <w:tcPr>
            <w:tcW w:w="5665" w:type="dxa"/>
            <w:noWrap/>
            <w:vAlign w:val="center"/>
          </w:tcPr>
          <w:p w14:paraId="0E69B6B0" w14:textId="53E39D3F" w:rsidR="00055A23" w:rsidRPr="00B17AE6" w:rsidRDefault="00055A23" w:rsidP="00055A23">
            <w:pPr>
              <w:rPr>
                <w:rFonts w:ascii="Verdana" w:hAnsi="Verdana"/>
                <w:sz w:val="18"/>
                <w:szCs w:val="18"/>
              </w:rPr>
            </w:pPr>
            <w:r w:rsidRPr="00B17AE6">
              <w:rPr>
                <w:rFonts w:ascii="Verdana" w:hAnsi="Verdana"/>
                <w:sz w:val="18"/>
                <w:szCs w:val="18"/>
              </w:rPr>
              <w:t>Verkoop verlaagd tarief gezinswoning 3%</w:t>
            </w:r>
          </w:p>
        </w:tc>
        <w:tc>
          <w:tcPr>
            <w:tcW w:w="1333" w:type="dxa"/>
            <w:shd w:val="clear" w:color="auto" w:fill="auto"/>
            <w:noWrap/>
            <w:vAlign w:val="center"/>
          </w:tcPr>
          <w:p w14:paraId="0892444D" w14:textId="37830448"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64.5</w:t>
            </w:r>
            <w:r w:rsidR="005E2A3C" w:rsidRPr="00B17AE6">
              <w:rPr>
                <w:rFonts w:ascii="Verdana" w:hAnsi="Verdana" w:cs="Calibri"/>
                <w:color w:val="000000"/>
                <w:sz w:val="18"/>
                <w:szCs w:val="18"/>
              </w:rPr>
              <w:t>26</w:t>
            </w:r>
          </w:p>
        </w:tc>
        <w:tc>
          <w:tcPr>
            <w:tcW w:w="2069" w:type="dxa"/>
            <w:shd w:val="clear" w:color="auto" w:fill="auto"/>
            <w:noWrap/>
            <w:vAlign w:val="center"/>
          </w:tcPr>
          <w:p w14:paraId="6E52E096" w14:textId="3848038A"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596.2</w:t>
            </w:r>
            <w:r w:rsidR="005E2A3C" w:rsidRPr="00B17AE6">
              <w:rPr>
                <w:rFonts w:ascii="Verdana" w:hAnsi="Verdana" w:cs="Calibri"/>
                <w:color w:val="000000"/>
                <w:sz w:val="18"/>
                <w:szCs w:val="18"/>
              </w:rPr>
              <w:t>58.345</w:t>
            </w:r>
          </w:p>
        </w:tc>
      </w:tr>
      <w:tr w:rsidR="00055A23" w:rsidRPr="00B17AE6" w14:paraId="4CDC75A2" w14:textId="77777777" w:rsidTr="004F5F5B">
        <w:trPr>
          <w:trHeight w:val="288"/>
        </w:trPr>
        <w:tc>
          <w:tcPr>
            <w:tcW w:w="5665" w:type="dxa"/>
            <w:noWrap/>
            <w:vAlign w:val="center"/>
            <w:hideMark/>
          </w:tcPr>
          <w:p w14:paraId="2F677C81" w14:textId="53DBD0B8" w:rsidR="00055A23" w:rsidRPr="00B17AE6" w:rsidRDefault="00055A23" w:rsidP="00055A23">
            <w:pPr>
              <w:rPr>
                <w:rFonts w:ascii="Verdana" w:hAnsi="Verdana"/>
                <w:sz w:val="18"/>
                <w:szCs w:val="18"/>
              </w:rPr>
            </w:pPr>
            <w:r w:rsidRPr="00B17AE6">
              <w:rPr>
                <w:rFonts w:ascii="Verdana" w:hAnsi="Verdana"/>
                <w:sz w:val="18"/>
                <w:szCs w:val="18"/>
              </w:rPr>
              <w:t>Verkoop verlaagd tarief gezinswoning 6%</w:t>
            </w:r>
          </w:p>
        </w:tc>
        <w:tc>
          <w:tcPr>
            <w:tcW w:w="1333" w:type="dxa"/>
            <w:shd w:val="clear" w:color="auto" w:fill="auto"/>
            <w:noWrap/>
            <w:vAlign w:val="center"/>
          </w:tcPr>
          <w:p w14:paraId="30202C05" w14:textId="3DBCA69D"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5.0</w:t>
            </w:r>
            <w:r w:rsidR="005E2A3C" w:rsidRPr="00B17AE6">
              <w:rPr>
                <w:rFonts w:ascii="Verdana" w:hAnsi="Verdana" w:cs="Calibri"/>
                <w:color w:val="000000"/>
                <w:sz w:val="18"/>
                <w:szCs w:val="18"/>
              </w:rPr>
              <w:t>65</w:t>
            </w:r>
          </w:p>
        </w:tc>
        <w:tc>
          <w:tcPr>
            <w:tcW w:w="2069" w:type="dxa"/>
            <w:shd w:val="clear" w:color="auto" w:fill="auto"/>
            <w:noWrap/>
            <w:vAlign w:val="center"/>
          </w:tcPr>
          <w:p w14:paraId="5D457669" w14:textId="0950BAF1"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28.2</w:t>
            </w:r>
            <w:r w:rsidR="005E2A3C" w:rsidRPr="00B17AE6">
              <w:rPr>
                <w:rFonts w:ascii="Verdana" w:hAnsi="Verdana" w:cs="Calibri"/>
                <w:color w:val="000000"/>
                <w:sz w:val="18"/>
                <w:szCs w:val="18"/>
              </w:rPr>
              <w:t>98.169</w:t>
            </w:r>
          </w:p>
        </w:tc>
      </w:tr>
      <w:tr w:rsidR="00055A23" w:rsidRPr="00B17AE6" w14:paraId="424BE58D" w14:textId="77777777" w:rsidTr="004F5F5B">
        <w:trPr>
          <w:trHeight w:val="288"/>
        </w:trPr>
        <w:tc>
          <w:tcPr>
            <w:tcW w:w="5665" w:type="dxa"/>
            <w:noWrap/>
            <w:vAlign w:val="center"/>
            <w:hideMark/>
          </w:tcPr>
          <w:p w14:paraId="40999960" w14:textId="184280A3" w:rsidR="00055A23" w:rsidRPr="00B17AE6" w:rsidRDefault="00055A23" w:rsidP="00055A23">
            <w:pPr>
              <w:rPr>
                <w:rFonts w:ascii="Verdana" w:hAnsi="Verdana"/>
                <w:sz w:val="18"/>
                <w:szCs w:val="18"/>
              </w:rPr>
            </w:pPr>
            <w:r w:rsidRPr="00B17AE6">
              <w:rPr>
                <w:rFonts w:ascii="Verdana" w:hAnsi="Verdana"/>
                <w:sz w:val="18"/>
                <w:szCs w:val="18"/>
              </w:rPr>
              <w:t>Verkoop verlaagd tarief gezinswoning 7%</w:t>
            </w:r>
          </w:p>
        </w:tc>
        <w:tc>
          <w:tcPr>
            <w:tcW w:w="1333" w:type="dxa"/>
            <w:shd w:val="clear" w:color="auto" w:fill="auto"/>
            <w:noWrap/>
            <w:vAlign w:val="center"/>
          </w:tcPr>
          <w:p w14:paraId="5F9DC354" w14:textId="03162462"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8</w:t>
            </w:r>
          </w:p>
        </w:tc>
        <w:tc>
          <w:tcPr>
            <w:tcW w:w="2069" w:type="dxa"/>
            <w:shd w:val="clear" w:color="auto" w:fill="auto"/>
            <w:noWrap/>
            <w:vAlign w:val="center"/>
          </w:tcPr>
          <w:p w14:paraId="425B43FC" w14:textId="5B2B3119"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78.478</w:t>
            </w:r>
          </w:p>
        </w:tc>
      </w:tr>
      <w:tr w:rsidR="00055A23" w:rsidRPr="00B17AE6" w14:paraId="55B2A062" w14:textId="77777777" w:rsidTr="004F5F5B">
        <w:trPr>
          <w:trHeight w:val="288"/>
        </w:trPr>
        <w:tc>
          <w:tcPr>
            <w:tcW w:w="5665" w:type="dxa"/>
            <w:noWrap/>
            <w:vAlign w:val="center"/>
          </w:tcPr>
          <w:p w14:paraId="3B15FE1A" w14:textId="5E146C00" w:rsidR="00055A23" w:rsidRPr="00B17AE6" w:rsidRDefault="00055A23" w:rsidP="00055A23">
            <w:pPr>
              <w:rPr>
                <w:rFonts w:ascii="Verdana" w:hAnsi="Verdana"/>
                <w:sz w:val="18"/>
                <w:szCs w:val="18"/>
              </w:rPr>
            </w:pPr>
            <w:r w:rsidRPr="00B17AE6">
              <w:rPr>
                <w:rFonts w:ascii="Verdana" w:hAnsi="Verdana"/>
                <w:sz w:val="18"/>
                <w:szCs w:val="18"/>
              </w:rPr>
              <w:t>Verkoop verlaagd tarief gezinswoning IER 1%</w:t>
            </w:r>
          </w:p>
        </w:tc>
        <w:tc>
          <w:tcPr>
            <w:tcW w:w="1333" w:type="dxa"/>
            <w:shd w:val="clear" w:color="auto" w:fill="auto"/>
            <w:noWrap/>
            <w:vAlign w:val="center"/>
          </w:tcPr>
          <w:p w14:paraId="55C1F613" w14:textId="79206439"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1.64</w:t>
            </w:r>
            <w:r w:rsidR="005E2A3C" w:rsidRPr="00B17AE6">
              <w:rPr>
                <w:rFonts w:ascii="Verdana" w:hAnsi="Verdana" w:cs="Calibri"/>
                <w:color w:val="000000"/>
                <w:sz w:val="18"/>
                <w:szCs w:val="18"/>
              </w:rPr>
              <w:t>2</w:t>
            </w:r>
          </w:p>
        </w:tc>
        <w:tc>
          <w:tcPr>
            <w:tcW w:w="2069" w:type="dxa"/>
            <w:shd w:val="clear" w:color="auto" w:fill="auto"/>
            <w:noWrap/>
            <w:vAlign w:val="center"/>
          </w:tcPr>
          <w:p w14:paraId="0D0A0D73" w14:textId="12415FF2"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5.385.615</w:t>
            </w:r>
          </w:p>
        </w:tc>
      </w:tr>
      <w:tr w:rsidR="00055A23" w:rsidRPr="00B17AE6" w14:paraId="3526F568" w14:textId="77777777" w:rsidTr="004F5F5B">
        <w:trPr>
          <w:trHeight w:val="288"/>
        </w:trPr>
        <w:tc>
          <w:tcPr>
            <w:tcW w:w="5665" w:type="dxa"/>
            <w:noWrap/>
            <w:vAlign w:val="center"/>
            <w:hideMark/>
          </w:tcPr>
          <w:p w14:paraId="74B2253E" w14:textId="3C4CFE36" w:rsidR="00055A23" w:rsidRPr="00B17AE6" w:rsidRDefault="00055A23" w:rsidP="00055A23">
            <w:pPr>
              <w:rPr>
                <w:rFonts w:ascii="Verdana" w:hAnsi="Verdana"/>
                <w:sz w:val="18"/>
                <w:szCs w:val="18"/>
              </w:rPr>
            </w:pPr>
            <w:r w:rsidRPr="00B17AE6">
              <w:rPr>
                <w:rFonts w:ascii="Verdana" w:hAnsi="Verdana"/>
                <w:sz w:val="18"/>
                <w:szCs w:val="18"/>
              </w:rPr>
              <w:t>Verkoop verlaagd tarief gezinswoning IER 5%</w:t>
            </w:r>
          </w:p>
        </w:tc>
        <w:tc>
          <w:tcPr>
            <w:tcW w:w="1333" w:type="dxa"/>
            <w:shd w:val="clear" w:color="auto" w:fill="auto"/>
            <w:noWrap/>
            <w:vAlign w:val="center"/>
          </w:tcPr>
          <w:p w14:paraId="714B9F40" w14:textId="63331550"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51</w:t>
            </w:r>
          </w:p>
        </w:tc>
        <w:tc>
          <w:tcPr>
            <w:tcW w:w="2069" w:type="dxa"/>
            <w:shd w:val="clear" w:color="auto" w:fill="auto"/>
            <w:noWrap/>
            <w:vAlign w:val="center"/>
          </w:tcPr>
          <w:p w14:paraId="7D295175" w14:textId="326035DF"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233.343</w:t>
            </w:r>
          </w:p>
        </w:tc>
      </w:tr>
      <w:tr w:rsidR="00055A23" w:rsidRPr="00B17AE6" w14:paraId="23E7AD45" w14:textId="77777777" w:rsidTr="004F5F5B">
        <w:trPr>
          <w:trHeight w:val="288"/>
        </w:trPr>
        <w:tc>
          <w:tcPr>
            <w:tcW w:w="5665" w:type="dxa"/>
            <w:noWrap/>
            <w:vAlign w:val="center"/>
            <w:hideMark/>
          </w:tcPr>
          <w:p w14:paraId="32A17305" w14:textId="696E2102" w:rsidR="00055A23" w:rsidRPr="00B17AE6" w:rsidRDefault="00055A23" w:rsidP="00055A23">
            <w:pPr>
              <w:rPr>
                <w:rFonts w:ascii="Verdana" w:hAnsi="Verdana"/>
                <w:sz w:val="18"/>
                <w:szCs w:val="18"/>
              </w:rPr>
            </w:pPr>
            <w:r w:rsidRPr="00B17AE6">
              <w:rPr>
                <w:rFonts w:ascii="Verdana" w:hAnsi="Verdana"/>
                <w:sz w:val="18"/>
                <w:szCs w:val="18"/>
              </w:rPr>
              <w:t>Verkoop verlaagd tarief gezinswoning IER 6%</w:t>
            </w:r>
          </w:p>
        </w:tc>
        <w:tc>
          <w:tcPr>
            <w:tcW w:w="1333" w:type="dxa"/>
            <w:shd w:val="clear" w:color="auto" w:fill="auto"/>
            <w:noWrap/>
            <w:vAlign w:val="center"/>
          </w:tcPr>
          <w:p w14:paraId="76C6514B" w14:textId="00CD5477"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3</w:t>
            </w:r>
          </w:p>
        </w:tc>
        <w:tc>
          <w:tcPr>
            <w:tcW w:w="2069" w:type="dxa"/>
            <w:shd w:val="clear" w:color="auto" w:fill="auto"/>
            <w:noWrap/>
            <w:vAlign w:val="center"/>
          </w:tcPr>
          <w:p w14:paraId="31299937" w14:textId="72227AA4"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2.300</w:t>
            </w:r>
          </w:p>
        </w:tc>
      </w:tr>
      <w:tr w:rsidR="00055A23" w:rsidRPr="00B17AE6" w14:paraId="3F132A26" w14:textId="77777777" w:rsidTr="004F5F5B">
        <w:trPr>
          <w:trHeight w:val="288"/>
        </w:trPr>
        <w:tc>
          <w:tcPr>
            <w:tcW w:w="5665" w:type="dxa"/>
            <w:noWrap/>
            <w:vAlign w:val="center"/>
          </w:tcPr>
          <w:p w14:paraId="52A0BAA0" w14:textId="17F74C2E" w:rsidR="00055A23" w:rsidRPr="00B17AE6" w:rsidRDefault="00055A23" w:rsidP="00055A23">
            <w:pPr>
              <w:rPr>
                <w:rFonts w:ascii="Verdana" w:hAnsi="Verdana"/>
                <w:sz w:val="18"/>
                <w:szCs w:val="18"/>
              </w:rPr>
            </w:pPr>
            <w:r w:rsidRPr="00B17AE6">
              <w:rPr>
                <w:rFonts w:ascii="Verdana" w:hAnsi="Verdana"/>
                <w:sz w:val="18"/>
                <w:szCs w:val="18"/>
              </w:rPr>
              <w:t>Verkoop verlaagd tarief gezinswoning sloop heropbouw 1%</w:t>
            </w:r>
          </w:p>
        </w:tc>
        <w:tc>
          <w:tcPr>
            <w:tcW w:w="1333" w:type="dxa"/>
            <w:shd w:val="clear" w:color="auto" w:fill="auto"/>
            <w:noWrap/>
            <w:vAlign w:val="center"/>
          </w:tcPr>
          <w:p w14:paraId="7B246942" w14:textId="560AE670"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43</w:t>
            </w:r>
          </w:p>
        </w:tc>
        <w:tc>
          <w:tcPr>
            <w:tcW w:w="2069" w:type="dxa"/>
            <w:shd w:val="clear" w:color="auto" w:fill="auto"/>
            <w:noWrap/>
            <w:vAlign w:val="center"/>
          </w:tcPr>
          <w:p w14:paraId="3EE700B6" w14:textId="2C8D6CA4"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117.675</w:t>
            </w:r>
          </w:p>
        </w:tc>
      </w:tr>
      <w:tr w:rsidR="00055A23" w:rsidRPr="00B17AE6" w14:paraId="0205F05C" w14:textId="77777777" w:rsidTr="004F5F5B">
        <w:trPr>
          <w:trHeight w:val="288"/>
        </w:trPr>
        <w:tc>
          <w:tcPr>
            <w:tcW w:w="5665" w:type="dxa"/>
            <w:noWrap/>
            <w:vAlign w:val="center"/>
            <w:hideMark/>
          </w:tcPr>
          <w:p w14:paraId="09EF0530" w14:textId="77777777" w:rsidR="00055A23" w:rsidRPr="00B17AE6" w:rsidRDefault="00055A23" w:rsidP="00055A23">
            <w:pPr>
              <w:rPr>
                <w:rFonts w:ascii="Verdana" w:hAnsi="Verdana"/>
                <w:sz w:val="18"/>
                <w:szCs w:val="18"/>
              </w:rPr>
            </w:pPr>
            <w:r w:rsidRPr="00B17AE6">
              <w:rPr>
                <w:rFonts w:ascii="Verdana" w:hAnsi="Verdana"/>
                <w:sz w:val="18"/>
                <w:szCs w:val="18"/>
              </w:rPr>
              <w:t>Verkoop verlaagd tarief gezinswoning sloop heropbouw 5%</w:t>
            </w:r>
          </w:p>
        </w:tc>
        <w:tc>
          <w:tcPr>
            <w:tcW w:w="1333" w:type="dxa"/>
            <w:shd w:val="clear" w:color="auto" w:fill="auto"/>
            <w:noWrap/>
            <w:vAlign w:val="center"/>
          </w:tcPr>
          <w:p w14:paraId="31A6C31A" w14:textId="2A3CCA41"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w:t>
            </w:r>
          </w:p>
        </w:tc>
        <w:tc>
          <w:tcPr>
            <w:tcW w:w="2069" w:type="dxa"/>
            <w:shd w:val="clear" w:color="auto" w:fill="auto"/>
            <w:noWrap/>
            <w:vAlign w:val="center"/>
          </w:tcPr>
          <w:p w14:paraId="65978CEB" w14:textId="24A10144"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12.500</w:t>
            </w:r>
          </w:p>
        </w:tc>
      </w:tr>
      <w:tr w:rsidR="00055A23" w:rsidRPr="00B17AE6" w14:paraId="15317FA8" w14:textId="77777777" w:rsidTr="004F5F5B">
        <w:trPr>
          <w:trHeight w:val="288"/>
        </w:trPr>
        <w:tc>
          <w:tcPr>
            <w:tcW w:w="5665" w:type="dxa"/>
            <w:noWrap/>
            <w:vAlign w:val="center"/>
            <w:hideMark/>
          </w:tcPr>
          <w:p w14:paraId="38E2BCDC" w14:textId="50802E57" w:rsidR="00055A23" w:rsidRPr="00B17AE6" w:rsidRDefault="00055A23" w:rsidP="00055A23">
            <w:pPr>
              <w:rPr>
                <w:rFonts w:ascii="Verdana" w:hAnsi="Verdana"/>
                <w:sz w:val="18"/>
                <w:szCs w:val="18"/>
              </w:rPr>
            </w:pPr>
            <w:r w:rsidRPr="00B17AE6">
              <w:rPr>
                <w:rFonts w:ascii="Verdana" w:hAnsi="Verdana"/>
                <w:sz w:val="18"/>
                <w:szCs w:val="18"/>
              </w:rPr>
              <w:t>Verkoop verlaagd tarief onroerend erfgoed 1%</w:t>
            </w:r>
          </w:p>
        </w:tc>
        <w:tc>
          <w:tcPr>
            <w:tcW w:w="1333" w:type="dxa"/>
            <w:shd w:val="clear" w:color="auto" w:fill="auto"/>
            <w:noWrap/>
            <w:vAlign w:val="center"/>
          </w:tcPr>
          <w:p w14:paraId="6D7409AE" w14:textId="6AB1D325" w:rsidR="00055A23" w:rsidRPr="00B17AE6" w:rsidRDefault="005E2A3C" w:rsidP="00055A23">
            <w:pPr>
              <w:ind w:left="284"/>
              <w:jc w:val="right"/>
              <w:rPr>
                <w:rFonts w:ascii="Verdana" w:hAnsi="Verdana"/>
                <w:sz w:val="18"/>
                <w:szCs w:val="18"/>
              </w:rPr>
            </w:pPr>
            <w:r w:rsidRPr="00B17AE6">
              <w:rPr>
                <w:rFonts w:ascii="Verdana" w:hAnsi="Verdana" w:cs="Calibri"/>
                <w:color w:val="000000"/>
                <w:sz w:val="18"/>
                <w:szCs w:val="18"/>
              </w:rPr>
              <w:t>26</w:t>
            </w:r>
          </w:p>
        </w:tc>
        <w:tc>
          <w:tcPr>
            <w:tcW w:w="2069" w:type="dxa"/>
            <w:shd w:val="clear" w:color="auto" w:fill="auto"/>
            <w:noWrap/>
            <w:vAlign w:val="center"/>
          </w:tcPr>
          <w:p w14:paraId="17A44D2D" w14:textId="42FE16C5"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14</w:t>
            </w:r>
            <w:r w:rsidR="005E2A3C" w:rsidRPr="00B17AE6">
              <w:rPr>
                <w:rFonts w:ascii="Verdana" w:hAnsi="Verdana" w:cs="Calibri"/>
                <w:color w:val="000000"/>
                <w:sz w:val="18"/>
                <w:szCs w:val="18"/>
              </w:rPr>
              <w:t>0.681</w:t>
            </w:r>
          </w:p>
        </w:tc>
      </w:tr>
      <w:bookmarkEnd w:id="1"/>
      <w:tr w:rsidR="00055A23" w:rsidRPr="00B17AE6" w14:paraId="0E314A8B" w14:textId="77777777" w:rsidTr="004F5F5B">
        <w:trPr>
          <w:trHeight w:val="288"/>
        </w:trPr>
        <w:tc>
          <w:tcPr>
            <w:tcW w:w="5665" w:type="dxa"/>
            <w:noWrap/>
            <w:vAlign w:val="center"/>
            <w:hideMark/>
          </w:tcPr>
          <w:p w14:paraId="26FB0E60" w14:textId="607EA07C" w:rsidR="00055A23" w:rsidRPr="00B17AE6" w:rsidRDefault="00055A23" w:rsidP="00055A23">
            <w:pPr>
              <w:rPr>
                <w:rFonts w:ascii="Verdana" w:hAnsi="Verdana"/>
                <w:sz w:val="18"/>
                <w:szCs w:val="18"/>
              </w:rPr>
            </w:pPr>
            <w:r w:rsidRPr="00B17AE6">
              <w:rPr>
                <w:rFonts w:ascii="Verdana" w:hAnsi="Verdana"/>
                <w:sz w:val="18"/>
                <w:szCs w:val="18"/>
              </w:rPr>
              <w:t>Verkoop verlaagd tarief onroerend erfgoed 5%</w:t>
            </w:r>
          </w:p>
        </w:tc>
        <w:tc>
          <w:tcPr>
            <w:tcW w:w="1333" w:type="dxa"/>
            <w:shd w:val="clear" w:color="auto" w:fill="auto"/>
            <w:noWrap/>
            <w:vAlign w:val="center"/>
          </w:tcPr>
          <w:p w14:paraId="08633126" w14:textId="1759FE08"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17</w:t>
            </w:r>
          </w:p>
        </w:tc>
        <w:tc>
          <w:tcPr>
            <w:tcW w:w="2069" w:type="dxa"/>
            <w:shd w:val="clear" w:color="auto" w:fill="auto"/>
            <w:noWrap/>
            <w:vAlign w:val="center"/>
          </w:tcPr>
          <w:p w14:paraId="60614217" w14:textId="5DD87DEA"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689.684</w:t>
            </w:r>
          </w:p>
        </w:tc>
      </w:tr>
      <w:tr w:rsidR="00055A23" w:rsidRPr="00055A23" w14:paraId="08E6A419" w14:textId="77777777" w:rsidTr="004F5F5B">
        <w:trPr>
          <w:trHeight w:val="288"/>
        </w:trPr>
        <w:tc>
          <w:tcPr>
            <w:tcW w:w="5665" w:type="dxa"/>
            <w:noWrap/>
            <w:vAlign w:val="center"/>
          </w:tcPr>
          <w:p w14:paraId="52903E4F" w14:textId="7E99A065" w:rsidR="00055A23" w:rsidRPr="00B17AE6" w:rsidRDefault="00055A23" w:rsidP="00055A23">
            <w:pPr>
              <w:rPr>
                <w:rFonts w:ascii="Verdana" w:hAnsi="Verdana"/>
                <w:sz w:val="18"/>
                <w:szCs w:val="18"/>
              </w:rPr>
            </w:pPr>
            <w:r w:rsidRPr="00B17AE6">
              <w:rPr>
                <w:rFonts w:ascii="Verdana" w:hAnsi="Verdana"/>
                <w:sz w:val="18"/>
                <w:szCs w:val="18"/>
              </w:rPr>
              <w:t>Verkoop verlaagd tarief onroerend erfgoed 6%</w:t>
            </w:r>
          </w:p>
        </w:tc>
        <w:tc>
          <w:tcPr>
            <w:tcW w:w="1333" w:type="dxa"/>
            <w:shd w:val="clear" w:color="auto" w:fill="auto"/>
            <w:noWrap/>
            <w:vAlign w:val="center"/>
          </w:tcPr>
          <w:p w14:paraId="02B343A8" w14:textId="049B4B42" w:rsidR="00055A23" w:rsidRPr="00B17AE6" w:rsidRDefault="00055A23" w:rsidP="00055A23">
            <w:pPr>
              <w:ind w:left="284"/>
              <w:jc w:val="right"/>
              <w:rPr>
                <w:rFonts w:ascii="Verdana" w:hAnsi="Verdana"/>
                <w:sz w:val="18"/>
                <w:szCs w:val="18"/>
              </w:rPr>
            </w:pPr>
            <w:r w:rsidRPr="00B17AE6">
              <w:rPr>
                <w:rFonts w:ascii="Verdana" w:hAnsi="Verdana" w:cs="Calibri"/>
                <w:color w:val="000000"/>
                <w:sz w:val="18"/>
                <w:szCs w:val="18"/>
              </w:rPr>
              <w:t>25</w:t>
            </w:r>
          </w:p>
        </w:tc>
        <w:tc>
          <w:tcPr>
            <w:tcW w:w="2069" w:type="dxa"/>
            <w:shd w:val="clear" w:color="auto" w:fill="auto"/>
            <w:noWrap/>
            <w:vAlign w:val="center"/>
          </w:tcPr>
          <w:p w14:paraId="3237272C" w14:textId="2E3576E8" w:rsidR="00055A23" w:rsidRPr="00055A23" w:rsidRDefault="00055A23" w:rsidP="00055A23">
            <w:pPr>
              <w:ind w:left="284"/>
              <w:jc w:val="right"/>
              <w:rPr>
                <w:rFonts w:ascii="Verdana" w:hAnsi="Verdana"/>
                <w:sz w:val="18"/>
                <w:szCs w:val="18"/>
              </w:rPr>
            </w:pPr>
            <w:r w:rsidRPr="00B17AE6">
              <w:rPr>
                <w:rFonts w:ascii="Verdana" w:hAnsi="Verdana" w:cs="Calibri"/>
                <w:color w:val="000000"/>
                <w:sz w:val="18"/>
                <w:szCs w:val="18"/>
              </w:rPr>
              <w:t>974.156</w:t>
            </w:r>
          </w:p>
        </w:tc>
      </w:tr>
      <w:tr w:rsidR="00055A23" w:rsidRPr="00055A23" w14:paraId="197D86EC" w14:textId="77777777" w:rsidTr="004F5F5B">
        <w:trPr>
          <w:trHeight w:val="288"/>
        </w:trPr>
        <w:tc>
          <w:tcPr>
            <w:tcW w:w="5665" w:type="dxa"/>
            <w:noWrap/>
            <w:vAlign w:val="center"/>
            <w:hideMark/>
          </w:tcPr>
          <w:p w14:paraId="14057657" w14:textId="61CBBF8F" w:rsidR="00055A23" w:rsidRPr="00055A23" w:rsidRDefault="00055A23" w:rsidP="00055A23">
            <w:pPr>
              <w:rPr>
                <w:rFonts w:ascii="Verdana" w:hAnsi="Verdana"/>
                <w:sz w:val="18"/>
                <w:szCs w:val="18"/>
              </w:rPr>
            </w:pPr>
            <w:r w:rsidRPr="00055A23">
              <w:rPr>
                <w:rFonts w:ascii="Verdana" w:hAnsi="Verdana"/>
                <w:sz w:val="18"/>
                <w:szCs w:val="18"/>
              </w:rPr>
              <w:t xml:space="preserve">Verkoop verlaagd tarief </w:t>
            </w:r>
            <w:r w:rsidR="004F5F5B">
              <w:rPr>
                <w:rFonts w:ascii="Verdana" w:hAnsi="Verdana"/>
                <w:sz w:val="18"/>
                <w:szCs w:val="18"/>
              </w:rPr>
              <w:t>sociaal verhuurkantoor</w:t>
            </w:r>
            <w:r w:rsidRPr="00055A23">
              <w:rPr>
                <w:rFonts w:ascii="Verdana" w:hAnsi="Verdana"/>
                <w:sz w:val="18"/>
                <w:szCs w:val="18"/>
              </w:rPr>
              <w:t xml:space="preserve"> 7%</w:t>
            </w:r>
          </w:p>
        </w:tc>
        <w:tc>
          <w:tcPr>
            <w:tcW w:w="1333" w:type="dxa"/>
            <w:shd w:val="clear" w:color="auto" w:fill="auto"/>
            <w:noWrap/>
            <w:vAlign w:val="center"/>
          </w:tcPr>
          <w:p w14:paraId="309991CB" w14:textId="389BB43B" w:rsidR="00055A23" w:rsidRPr="00055A23" w:rsidRDefault="00055A23" w:rsidP="00055A23">
            <w:pPr>
              <w:ind w:left="284"/>
              <w:jc w:val="right"/>
              <w:rPr>
                <w:rFonts w:ascii="Verdana" w:hAnsi="Verdana"/>
                <w:sz w:val="18"/>
                <w:szCs w:val="18"/>
              </w:rPr>
            </w:pPr>
            <w:r w:rsidRPr="00055A23">
              <w:rPr>
                <w:rFonts w:ascii="Verdana" w:hAnsi="Verdana" w:cs="Calibri"/>
                <w:color w:val="000000"/>
                <w:sz w:val="18"/>
                <w:szCs w:val="18"/>
              </w:rPr>
              <w:t>279</w:t>
            </w:r>
          </w:p>
        </w:tc>
        <w:tc>
          <w:tcPr>
            <w:tcW w:w="2069" w:type="dxa"/>
            <w:shd w:val="clear" w:color="auto" w:fill="auto"/>
            <w:noWrap/>
            <w:vAlign w:val="center"/>
          </w:tcPr>
          <w:p w14:paraId="0E7AD657" w14:textId="33B0AB7F" w:rsidR="00055A23" w:rsidRPr="00055A23" w:rsidRDefault="00055A23" w:rsidP="00055A23">
            <w:pPr>
              <w:ind w:left="284"/>
              <w:jc w:val="right"/>
              <w:rPr>
                <w:rFonts w:ascii="Verdana" w:hAnsi="Verdana"/>
                <w:sz w:val="18"/>
                <w:szCs w:val="18"/>
              </w:rPr>
            </w:pPr>
            <w:r w:rsidRPr="00055A23">
              <w:rPr>
                <w:rFonts w:ascii="Verdana" w:hAnsi="Verdana" w:cs="Calibri"/>
                <w:color w:val="000000"/>
                <w:sz w:val="18"/>
                <w:szCs w:val="18"/>
              </w:rPr>
              <w:t>3.685.240</w:t>
            </w:r>
          </w:p>
        </w:tc>
      </w:tr>
      <w:tr w:rsidR="00055A23" w:rsidRPr="00055A23" w14:paraId="68B30A03" w14:textId="77777777" w:rsidTr="004F5F5B">
        <w:trPr>
          <w:trHeight w:val="288"/>
        </w:trPr>
        <w:tc>
          <w:tcPr>
            <w:tcW w:w="5665" w:type="dxa"/>
            <w:noWrap/>
            <w:vAlign w:val="center"/>
            <w:hideMark/>
          </w:tcPr>
          <w:p w14:paraId="7FADD1DD" w14:textId="77777777" w:rsidR="00055A23" w:rsidRPr="00055A23" w:rsidRDefault="00055A23" w:rsidP="00055A23">
            <w:pPr>
              <w:rPr>
                <w:rFonts w:ascii="Verdana" w:hAnsi="Verdana"/>
                <w:sz w:val="18"/>
                <w:szCs w:val="18"/>
              </w:rPr>
            </w:pPr>
            <w:r w:rsidRPr="00055A23">
              <w:rPr>
                <w:rFonts w:ascii="Verdana" w:hAnsi="Verdana"/>
                <w:sz w:val="18"/>
                <w:szCs w:val="18"/>
              </w:rPr>
              <w:t>Vernietiging/ontbinding verkoop</w:t>
            </w:r>
          </w:p>
        </w:tc>
        <w:tc>
          <w:tcPr>
            <w:tcW w:w="1333" w:type="dxa"/>
            <w:shd w:val="clear" w:color="auto" w:fill="auto"/>
            <w:noWrap/>
            <w:vAlign w:val="center"/>
          </w:tcPr>
          <w:p w14:paraId="4A590C16" w14:textId="6FEFF926" w:rsidR="00055A23" w:rsidRPr="00055A23" w:rsidRDefault="00055A23" w:rsidP="00055A23">
            <w:pPr>
              <w:ind w:left="284"/>
              <w:jc w:val="right"/>
              <w:rPr>
                <w:rFonts w:ascii="Verdana" w:hAnsi="Verdana"/>
                <w:sz w:val="18"/>
                <w:szCs w:val="18"/>
              </w:rPr>
            </w:pPr>
            <w:r w:rsidRPr="00055A23">
              <w:rPr>
                <w:rFonts w:ascii="Verdana" w:hAnsi="Verdana" w:cs="Calibri"/>
                <w:color w:val="000000"/>
                <w:sz w:val="18"/>
                <w:szCs w:val="18"/>
              </w:rPr>
              <w:t>2.883</w:t>
            </w:r>
          </w:p>
        </w:tc>
        <w:tc>
          <w:tcPr>
            <w:tcW w:w="2069" w:type="dxa"/>
            <w:shd w:val="clear" w:color="auto" w:fill="auto"/>
            <w:noWrap/>
            <w:vAlign w:val="center"/>
          </w:tcPr>
          <w:p w14:paraId="55318B1F" w14:textId="1EF558F7" w:rsidR="00055A23" w:rsidRPr="00055A23" w:rsidRDefault="00055A23" w:rsidP="00055A23">
            <w:pPr>
              <w:ind w:left="284"/>
              <w:jc w:val="right"/>
              <w:rPr>
                <w:rFonts w:ascii="Verdana" w:hAnsi="Verdana"/>
                <w:sz w:val="18"/>
                <w:szCs w:val="18"/>
              </w:rPr>
            </w:pPr>
            <w:r w:rsidRPr="00055A23">
              <w:rPr>
                <w:rFonts w:ascii="Verdana" w:hAnsi="Verdana" w:cs="Calibri"/>
                <w:color w:val="000000"/>
                <w:sz w:val="18"/>
                <w:szCs w:val="18"/>
              </w:rPr>
              <w:t>31.260</w:t>
            </w:r>
          </w:p>
        </w:tc>
      </w:tr>
      <w:tr w:rsidR="004F5F5B" w:rsidRPr="00055A23" w14:paraId="7CD7FB97" w14:textId="77777777" w:rsidTr="004F5F5B">
        <w:trPr>
          <w:trHeight w:val="288"/>
        </w:trPr>
        <w:tc>
          <w:tcPr>
            <w:tcW w:w="5665" w:type="dxa"/>
            <w:noWrap/>
            <w:vAlign w:val="center"/>
            <w:hideMark/>
          </w:tcPr>
          <w:p w14:paraId="3794088E" w14:textId="77777777" w:rsidR="00055A23" w:rsidRPr="00055A23" w:rsidRDefault="00055A23" w:rsidP="00055A23">
            <w:pPr>
              <w:rPr>
                <w:rFonts w:ascii="Verdana" w:hAnsi="Verdana"/>
                <w:b/>
                <w:bCs/>
                <w:sz w:val="18"/>
                <w:szCs w:val="18"/>
              </w:rPr>
            </w:pPr>
            <w:r w:rsidRPr="00055A23">
              <w:rPr>
                <w:rFonts w:ascii="Verdana" w:hAnsi="Verdana"/>
                <w:b/>
                <w:bCs/>
                <w:sz w:val="18"/>
                <w:szCs w:val="18"/>
              </w:rPr>
              <w:t xml:space="preserve">TOTAAL </w:t>
            </w:r>
          </w:p>
        </w:tc>
        <w:tc>
          <w:tcPr>
            <w:tcW w:w="1333" w:type="dxa"/>
            <w:shd w:val="clear" w:color="auto" w:fill="auto"/>
            <w:noWrap/>
            <w:vAlign w:val="center"/>
          </w:tcPr>
          <w:p w14:paraId="451905E7" w14:textId="05EE5F56" w:rsidR="00055A23" w:rsidRPr="00055A23" w:rsidRDefault="00055A23" w:rsidP="00055A23">
            <w:pPr>
              <w:ind w:left="284"/>
              <w:jc w:val="right"/>
              <w:rPr>
                <w:rFonts w:ascii="Verdana" w:hAnsi="Verdana"/>
                <w:b/>
                <w:bCs/>
                <w:sz w:val="18"/>
                <w:szCs w:val="18"/>
              </w:rPr>
            </w:pPr>
            <w:r w:rsidRPr="00055A23">
              <w:rPr>
                <w:rFonts w:ascii="Verdana" w:hAnsi="Verdana" w:cs="Calibri"/>
                <w:b/>
                <w:bCs/>
                <w:color w:val="000000"/>
                <w:sz w:val="18"/>
                <w:szCs w:val="18"/>
              </w:rPr>
              <w:t>171.992</w:t>
            </w:r>
          </w:p>
        </w:tc>
        <w:tc>
          <w:tcPr>
            <w:tcW w:w="2069" w:type="dxa"/>
            <w:shd w:val="clear" w:color="auto" w:fill="auto"/>
            <w:noWrap/>
            <w:vAlign w:val="center"/>
          </w:tcPr>
          <w:p w14:paraId="6C045258" w14:textId="05A2CF58" w:rsidR="00055A23" w:rsidRPr="00055A23" w:rsidRDefault="00055A23" w:rsidP="00055A23">
            <w:pPr>
              <w:ind w:left="284"/>
              <w:jc w:val="right"/>
              <w:rPr>
                <w:rFonts w:ascii="Verdana" w:hAnsi="Verdana"/>
                <w:b/>
                <w:bCs/>
                <w:sz w:val="18"/>
                <w:szCs w:val="18"/>
              </w:rPr>
            </w:pPr>
            <w:r w:rsidRPr="00055A23">
              <w:rPr>
                <w:rFonts w:ascii="Verdana" w:hAnsi="Verdana" w:cs="Calibri"/>
                <w:b/>
                <w:bCs/>
                <w:color w:val="000000"/>
                <w:sz w:val="18"/>
                <w:szCs w:val="18"/>
              </w:rPr>
              <w:t>2.700.588.183</w:t>
            </w:r>
          </w:p>
        </w:tc>
      </w:tr>
    </w:tbl>
    <w:p w14:paraId="04DBD95A" w14:textId="77777777" w:rsidR="002139D0" w:rsidRDefault="002139D0" w:rsidP="002139D0">
      <w:pPr>
        <w:ind w:left="284"/>
        <w:jc w:val="both"/>
        <w:rPr>
          <w:rFonts w:ascii="Verdana" w:hAnsi="Verdana"/>
          <w:sz w:val="20"/>
          <w:szCs w:val="20"/>
        </w:rPr>
      </w:pPr>
    </w:p>
    <w:bookmarkEnd w:id="0"/>
    <w:p w14:paraId="012E112A" w14:textId="61A361F9" w:rsidR="002139D0" w:rsidRPr="005A6474" w:rsidRDefault="00182F7D" w:rsidP="009251BF">
      <w:pPr>
        <w:ind w:left="426"/>
        <w:jc w:val="both"/>
        <w:rPr>
          <w:rFonts w:ascii="Verdana" w:hAnsi="Verdana"/>
          <w:sz w:val="20"/>
          <w:szCs w:val="20"/>
          <w:lang w:val="nl-BE"/>
        </w:rPr>
      </w:pPr>
      <w:r>
        <w:rPr>
          <w:rFonts w:ascii="Verdana" w:hAnsi="Verdana"/>
          <w:sz w:val="20"/>
          <w:szCs w:val="20"/>
          <w:lang w:val="nl-BE"/>
        </w:rPr>
        <w:t>V</w:t>
      </w:r>
      <w:r w:rsidRPr="005A6474">
        <w:rPr>
          <w:rFonts w:ascii="Verdana" w:hAnsi="Verdana"/>
          <w:sz w:val="20"/>
          <w:szCs w:val="20"/>
          <w:lang w:val="nl-BE"/>
        </w:rPr>
        <w:t>oor 20</w:t>
      </w:r>
      <w:r>
        <w:rPr>
          <w:rFonts w:ascii="Verdana" w:hAnsi="Verdana"/>
          <w:sz w:val="20"/>
          <w:szCs w:val="20"/>
          <w:lang w:val="nl-BE"/>
        </w:rPr>
        <w:t>22 werd v</w:t>
      </w:r>
      <w:r w:rsidR="002139D0" w:rsidRPr="005A6474">
        <w:rPr>
          <w:rFonts w:ascii="Verdana" w:hAnsi="Verdana"/>
          <w:sz w:val="20"/>
          <w:szCs w:val="20"/>
          <w:lang w:val="nl-BE"/>
        </w:rPr>
        <w:t>olgens de ESR-</w:t>
      </w:r>
      <w:proofErr w:type="spellStart"/>
      <w:r w:rsidR="002139D0" w:rsidRPr="005A6474">
        <w:rPr>
          <w:rFonts w:ascii="Verdana" w:hAnsi="Verdana"/>
          <w:sz w:val="20"/>
          <w:szCs w:val="20"/>
          <w:lang w:val="nl-BE"/>
        </w:rPr>
        <w:t>aanrekeningsmethode</w:t>
      </w:r>
      <w:proofErr w:type="spellEnd"/>
      <w:r w:rsidR="002139D0" w:rsidRPr="005A6474">
        <w:rPr>
          <w:rFonts w:ascii="Verdana" w:hAnsi="Verdana"/>
          <w:sz w:val="20"/>
          <w:szCs w:val="20"/>
          <w:lang w:val="nl-BE"/>
        </w:rPr>
        <w:t xml:space="preserve"> </w:t>
      </w:r>
      <w:r w:rsidRPr="00182F7D">
        <w:rPr>
          <w:rFonts w:ascii="Verdana" w:hAnsi="Verdana"/>
          <w:sz w:val="20"/>
          <w:szCs w:val="20"/>
        </w:rPr>
        <w:t xml:space="preserve">2.532.973.562,68 </w:t>
      </w:r>
      <w:r w:rsidR="002139D0" w:rsidRPr="005A6474">
        <w:rPr>
          <w:rFonts w:ascii="Verdana" w:hAnsi="Verdana"/>
          <w:sz w:val="20"/>
          <w:szCs w:val="20"/>
          <w:lang w:val="nl-BE"/>
        </w:rPr>
        <w:t xml:space="preserve">euro (inclusief intresten en kosten) aan </w:t>
      </w:r>
      <w:r w:rsidR="002139D0">
        <w:rPr>
          <w:rFonts w:ascii="Verdana" w:hAnsi="Verdana"/>
          <w:sz w:val="20"/>
          <w:szCs w:val="20"/>
          <w:lang w:val="nl-BE"/>
        </w:rPr>
        <w:t>verkooprecht</w:t>
      </w:r>
      <w:r w:rsidR="002139D0" w:rsidRPr="005A6474">
        <w:rPr>
          <w:rFonts w:ascii="Verdana" w:hAnsi="Verdana"/>
          <w:sz w:val="20"/>
          <w:szCs w:val="20"/>
          <w:lang w:val="nl-BE"/>
        </w:rPr>
        <w:t xml:space="preserve"> ontvangen. </w:t>
      </w:r>
    </w:p>
    <w:p w14:paraId="5F5525F6" w14:textId="77777777" w:rsidR="002139D0" w:rsidRPr="002034D8" w:rsidRDefault="002139D0" w:rsidP="002139D0">
      <w:pPr>
        <w:jc w:val="both"/>
        <w:rPr>
          <w:rFonts w:ascii="Verdana" w:hAnsi="Verdana"/>
          <w:sz w:val="20"/>
          <w:szCs w:val="20"/>
          <w:lang w:val="nl-BE"/>
        </w:rPr>
      </w:pPr>
    </w:p>
    <w:p w14:paraId="609E46ED" w14:textId="70213BDE" w:rsidR="002139D0" w:rsidRPr="00B17AE6" w:rsidRDefault="002139D0" w:rsidP="002139D0">
      <w:pPr>
        <w:numPr>
          <w:ilvl w:val="0"/>
          <w:numId w:val="12"/>
        </w:numPr>
        <w:ind w:left="284" w:hanging="284"/>
        <w:jc w:val="both"/>
        <w:rPr>
          <w:rFonts w:ascii="Verdana" w:hAnsi="Verdana"/>
          <w:sz w:val="20"/>
          <w:szCs w:val="20"/>
        </w:rPr>
      </w:pPr>
      <w:r w:rsidRPr="00B17AE6">
        <w:rPr>
          <w:rFonts w:ascii="Verdana" w:hAnsi="Verdana"/>
          <w:sz w:val="20"/>
          <w:szCs w:val="20"/>
        </w:rPr>
        <w:t>In onderstaande tabel vindt u voor aanslagjaar 202</w:t>
      </w:r>
      <w:r w:rsidR="00182F7D" w:rsidRPr="00B17AE6">
        <w:rPr>
          <w:rFonts w:ascii="Verdana" w:hAnsi="Verdana"/>
          <w:sz w:val="20"/>
          <w:szCs w:val="20"/>
        </w:rPr>
        <w:t>2</w:t>
      </w:r>
      <w:r w:rsidRPr="00B17AE6">
        <w:rPr>
          <w:rFonts w:ascii="Verdana" w:hAnsi="Verdana"/>
          <w:sz w:val="20"/>
          <w:szCs w:val="20"/>
        </w:rPr>
        <w:t xml:space="preserve"> de meeneembare rechten door verrekening en de meeneembare rechten door teruggave. Een verzoek tot verrekening wordt doorgaans gevraagd in de authentieke akte van de aankoop van de nieuwe </w:t>
      </w:r>
      <w:r w:rsidRPr="00B17AE6">
        <w:rPr>
          <w:rFonts w:ascii="Verdana" w:hAnsi="Verdana"/>
          <w:sz w:val="20"/>
          <w:szCs w:val="20"/>
        </w:rPr>
        <w:lastRenderedPageBreak/>
        <w:t>woning-hoofdverblijfplaats. Indien het gaat om meeneembaarheid door teruggave gebeurt het verzoek doorgaans in de akte van verkoop van de oude woning-hoofdverblijfplaats. Gelet op het feit dat de belastingplichtige 2 jaar</w:t>
      </w:r>
      <w:r w:rsidRPr="00B17AE6">
        <w:rPr>
          <w:rStyle w:val="Voetnootmarkering"/>
          <w:rFonts w:ascii="Verdana" w:hAnsi="Verdana"/>
          <w:sz w:val="20"/>
          <w:szCs w:val="20"/>
          <w:lang w:val="nl-BE"/>
        </w:rPr>
        <w:footnoteReference w:id="1"/>
      </w:r>
      <w:r w:rsidRPr="00B17AE6">
        <w:rPr>
          <w:rStyle w:val="Voetnootmarkering"/>
          <w:lang w:val="nl-BE"/>
        </w:rPr>
        <w:t xml:space="preserve"> </w:t>
      </w:r>
      <w:r w:rsidRPr="00B17AE6">
        <w:rPr>
          <w:rFonts w:ascii="Verdana" w:hAnsi="Verdana"/>
          <w:sz w:val="20"/>
          <w:szCs w:val="20"/>
        </w:rPr>
        <w:t>de tijd heeft vanaf de aankoop van de nieuwe woning-hoofdverblijfplaats om de oude woning te verkopen, zal het bedrag van de meeneembare rechten bij teruggave nog toenemen.</w:t>
      </w:r>
      <w:r w:rsidR="00DD6D22" w:rsidRPr="00B17AE6">
        <w:rPr>
          <w:rFonts w:ascii="Verdana" w:hAnsi="Verdana"/>
          <w:sz w:val="20"/>
          <w:szCs w:val="20"/>
        </w:rPr>
        <w:t xml:space="preserve"> De meeneembaarheid dooft geleidelijk aan uit om volledig afgeschaft te worden met ingang van 1 januari 2024.</w:t>
      </w:r>
    </w:p>
    <w:p w14:paraId="3313E15E" w14:textId="77777777" w:rsidR="002139D0" w:rsidRPr="00B17AE6" w:rsidRDefault="002139D0" w:rsidP="002139D0">
      <w:pPr>
        <w:jc w:val="both"/>
        <w:rPr>
          <w:rFonts w:ascii="Verdana" w:hAnsi="Verdana"/>
          <w:sz w:val="20"/>
          <w:szCs w:val="20"/>
        </w:rPr>
      </w:pPr>
    </w:p>
    <w:tbl>
      <w:tblPr>
        <w:tblStyle w:val="Tabelraster"/>
        <w:tblW w:w="0" w:type="auto"/>
        <w:tblLook w:val="04A0" w:firstRow="1" w:lastRow="0" w:firstColumn="1" w:lastColumn="0" w:noHBand="0" w:noVBand="1"/>
      </w:tblPr>
      <w:tblGrid>
        <w:gridCol w:w="4847"/>
        <w:gridCol w:w="2037"/>
        <w:gridCol w:w="2178"/>
      </w:tblGrid>
      <w:tr w:rsidR="002139D0" w:rsidRPr="00B17AE6" w14:paraId="73539EDB" w14:textId="77777777" w:rsidTr="00B17AE6">
        <w:trPr>
          <w:trHeight w:val="288"/>
        </w:trPr>
        <w:tc>
          <w:tcPr>
            <w:tcW w:w="4847" w:type="dxa"/>
            <w:noWrap/>
            <w:hideMark/>
          </w:tcPr>
          <w:p w14:paraId="1CB9A2E0" w14:textId="77777777" w:rsidR="002139D0" w:rsidRPr="00B17AE6" w:rsidRDefault="002139D0" w:rsidP="00C05A15">
            <w:pPr>
              <w:rPr>
                <w:rFonts w:ascii="Verdana" w:hAnsi="Verdana"/>
                <w:b/>
                <w:bCs/>
                <w:sz w:val="18"/>
                <w:szCs w:val="18"/>
                <w:lang w:val="nl-BE"/>
              </w:rPr>
            </w:pPr>
            <w:r w:rsidRPr="00B17AE6">
              <w:rPr>
                <w:rFonts w:ascii="Verdana" w:hAnsi="Verdana"/>
                <w:b/>
                <w:bCs/>
                <w:sz w:val="18"/>
                <w:szCs w:val="18"/>
              </w:rPr>
              <w:t>Transactietype</w:t>
            </w:r>
          </w:p>
        </w:tc>
        <w:tc>
          <w:tcPr>
            <w:tcW w:w="2037" w:type="dxa"/>
            <w:noWrap/>
            <w:hideMark/>
          </w:tcPr>
          <w:p w14:paraId="18AA290B" w14:textId="77777777" w:rsidR="002139D0" w:rsidRPr="00B17AE6" w:rsidRDefault="002139D0" w:rsidP="00C05A15">
            <w:pPr>
              <w:jc w:val="right"/>
              <w:rPr>
                <w:rFonts w:ascii="Verdana" w:hAnsi="Verdana"/>
                <w:b/>
                <w:bCs/>
                <w:sz w:val="18"/>
                <w:szCs w:val="18"/>
              </w:rPr>
            </w:pPr>
            <w:r w:rsidRPr="00B17AE6">
              <w:rPr>
                <w:rFonts w:ascii="Verdana" w:hAnsi="Verdana"/>
                <w:b/>
                <w:bCs/>
                <w:sz w:val="18"/>
                <w:szCs w:val="18"/>
              </w:rPr>
              <w:t>Meeneembare rechten bij verrekening</w:t>
            </w:r>
          </w:p>
          <w:p w14:paraId="52F55147" w14:textId="77777777" w:rsidR="002139D0" w:rsidRPr="00B17AE6" w:rsidRDefault="002139D0" w:rsidP="00C05A15">
            <w:pPr>
              <w:jc w:val="right"/>
              <w:rPr>
                <w:rFonts w:ascii="Verdana" w:hAnsi="Verdana"/>
                <w:b/>
                <w:bCs/>
                <w:sz w:val="18"/>
                <w:szCs w:val="18"/>
              </w:rPr>
            </w:pPr>
            <w:r w:rsidRPr="00B17AE6">
              <w:rPr>
                <w:rFonts w:ascii="Verdana" w:hAnsi="Verdana"/>
                <w:b/>
                <w:bCs/>
                <w:sz w:val="18"/>
                <w:szCs w:val="18"/>
              </w:rPr>
              <w:t>(in euro)</w:t>
            </w:r>
          </w:p>
        </w:tc>
        <w:tc>
          <w:tcPr>
            <w:tcW w:w="2178" w:type="dxa"/>
            <w:noWrap/>
            <w:hideMark/>
          </w:tcPr>
          <w:p w14:paraId="283BF92B" w14:textId="77777777" w:rsidR="002139D0" w:rsidRPr="00B17AE6" w:rsidRDefault="002139D0" w:rsidP="00C05A15">
            <w:pPr>
              <w:jc w:val="right"/>
              <w:rPr>
                <w:rFonts w:ascii="Verdana" w:hAnsi="Verdana"/>
                <w:b/>
                <w:bCs/>
                <w:sz w:val="18"/>
                <w:szCs w:val="18"/>
              </w:rPr>
            </w:pPr>
            <w:r w:rsidRPr="00B17AE6">
              <w:rPr>
                <w:rFonts w:ascii="Verdana" w:hAnsi="Verdana"/>
                <w:b/>
                <w:bCs/>
                <w:sz w:val="18"/>
                <w:szCs w:val="18"/>
              </w:rPr>
              <w:t xml:space="preserve">Meeneembare rechten bij teruggave </w:t>
            </w:r>
          </w:p>
          <w:p w14:paraId="1FD2C170" w14:textId="77777777" w:rsidR="002139D0" w:rsidRPr="00B17AE6" w:rsidRDefault="002139D0" w:rsidP="00C05A15">
            <w:pPr>
              <w:jc w:val="right"/>
              <w:rPr>
                <w:rFonts w:ascii="Verdana" w:hAnsi="Verdana"/>
                <w:b/>
                <w:bCs/>
                <w:sz w:val="18"/>
                <w:szCs w:val="18"/>
              </w:rPr>
            </w:pPr>
            <w:r w:rsidRPr="00B17AE6">
              <w:rPr>
                <w:rFonts w:ascii="Verdana" w:hAnsi="Verdana"/>
                <w:b/>
                <w:bCs/>
                <w:sz w:val="18"/>
                <w:szCs w:val="18"/>
              </w:rPr>
              <w:t>(in euro)</w:t>
            </w:r>
          </w:p>
        </w:tc>
      </w:tr>
      <w:tr w:rsidR="002139D0" w:rsidRPr="00B17AE6" w14:paraId="68C103F6" w14:textId="77777777" w:rsidTr="00B17AE6">
        <w:trPr>
          <w:trHeight w:val="288"/>
        </w:trPr>
        <w:tc>
          <w:tcPr>
            <w:tcW w:w="4847" w:type="dxa"/>
            <w:noWrap/>
            <w:hideMark/>
          </w:tcPr>
          <w:p w14:paraId="6A022819" w14:textId="77777777" w:rsidR="002139D0" w:rsidRPr="00B17AE6" w:rsidRDefault="002139D0" w:rsidP="00C05A15">
            <w:pPr>
              <w:rPr>
                <w:rFonts w:ascii="Verdana" w:hAnsi="Verdana"/>
                <w:sz w:val="18"/>
                <w:szCs w:val="18"/>
              </w:rPr>
            </w:pPr>
            <w:r w:rsidRPr="00B17AE6">
              <w:rPr>
                <w:rFonts w:ascii="Verdana" w:hAnsi="Verdana"/>
                <w:sz w:val="18"/>
                <w:szCs w:val="18"/>
              </w:rPr>
              <w:t>Verkoop 1,5% - sociaal tarief</w:t>
            </w:r>
          </w:p>
        </w:tc>
        <w:tc>
          <w:tcPr>
            <w:tcW w:w="2037" w:type="dxa"/>
            <w:noWrap/>
          </w:tcPr>
          <w:p w14:paraId="6FC940B0" w14:textId="2E039A79" w:rsidR="002139D0" w:rsidRPr="00B17AE6" w:rsidRDefault="001703AE" w:rsidP="00C05A15">
            <w:pPr>
              <w:jc w:val="right"/>
              <w:rPr>
                <w:rFonts w:ascii="Verdana" w:hAnsi="Verdana"/>
                <w:sz w:val="18"/>
                <w:szCs w:val="18"/>
              </w:rPr>
            </w:pPr>
            <w:r w:rsidRPr="00B17AE6">
              <w:rPr>
                <w:rFonts w:ascii="Verdana" w:hAnsi="Verdana"/>
                <w:sz w:val="18"/>
                <w:szCs w:val="18"/>
              </w:rPr>
              <w:t>4.413</w:t>
            </w:r>
          </w:p>
        </w:tc>
        <w:tc>
          <w:tcPr>
            <w:tcW w:w="2178" w:type="dxa"/>
            <w:noWrap/>
          </w:tcPr>
          <w:p w14:paraId="16C39893" w14:textId="5A0FE835" w:rsidR="002139D0" w:rsidRPr="00B17AE6" w:rsidRDefault="002139D0" w:rsidP="00C05A15">
            <w:pPr>
              <w:jc w:val="right"/>
              <w:rPr>
                <w:rFonts w:ascii="Verdana" w:hAnsi="Verdana"/>
                <w:sz w:val="18"/>
                <w:szCs w:val="18"/>
              </w:rPr>
            </w:pPr>
          </w:p>
        </w:tc>
      </w:tr>
      <w:tr w:rsidR="002139D0" w:rsidRPr="00B17AE6" w14:paraId="1372EF86" w14:textId="77777777" w:rsidTr="00B17AE6">
        <w:trPr>
          <w:trHeight w:val="288"/>
        </w:trPr>
        <w:tc>
          <w:tcPr>
            <w:tcW w:w="4847" w:type="dxa"/>
            <w:noWrap/>
            <w:hideMark/>
          </w:tcPr>
          <w:p w14:paraId="4FC1D5EC" w14:textId="77777777" w:rsidR="002139D0" w:rsidRPr="00B17AE6" w:rsidRDefault="002139D0" w:rsidP="00C05A15">
            <w:pPr>
              <w:rPr>
                <w:rFonts w:ascii="Verdana" w:hAnsi="Verdana"/>
                <w:sz w:val="18"/>
                <w:szCs w:val="18"/>
              </w:rPr>
            </w:pPr>
            <w:r w:rsidRPr="00B17AE6">
              <w:rPr>
                <w:rFonts w:ascii="Verdana" w:hAnsi="Verdana"/>
                <w:sz w:val="18"/>
                <w:szCs w:val="18"/>
              </w:rPr>
              <w:t>Verkoop 10% - gewoon tarief</w:t>
            </w:r>
          </w:p>
        </w:tc>
        <w:tc>
          <w:tcPr>
            <w:tcW w:w="2037" w:type="dxa"/>
            <w:noWrap/>
          </w:tcPr>
          <w:p w14:paraId="5A38AB9B" w14:textId="2C6ECAA4" w:rsidR="002139D0" w:rsidRPr="00B17AE6" w:rsidRDefault="005E2A3C" w:rsidP="00C05A15">
            <w:pPr>
              <w:jc w:val="right"/>
              <w:rPr>
                <w:rFonts w:ascii="Verdana" w:hAnsi="Verdana"/>
                <w:sz w:val="18"/>
                <w:szCs w:val="18"/>
              </w:rPr>
            </w:pPr>
            <w:r w:rsidRPr="00B17AE6">
              <w:rPr>
                <w:rFonts w:ascii="Verdana" w:hAnsi="Verdana"/>
                <w:sz w:val="18"/>
                <w:szCs w:val="18"/>
              </w:rPr>
              <w:t>7.421.699</w:t>
            </w:r>
          </w:p>
        </w:tc>
        <w:tc>
          <w:tcPr>
            <w:tcW w:w="2178" w:type="dxa"/>
            <w:noWrap/>
          </w:tcPr>
          <w:p w14:paraId="4B1C303A" w14:textId="1507B72B" w:rsidR="002139D0" w:rsidRPr="00B17AE6" w:rsidRDefault="001703AE" w:rsidP="00C05A15">
            <w:pPr>
              <w:jc w:val="right"/>
              <w:rPr>
                <w:rFonts w:ascii="Verdana" w:hAnsi="Verdana"/>
                <w:sz w:val="18"/>
                <w:szCs w:val="18"/>
              </w:rPr>
            </w:pPr>
            <w:r w:rsidRPr="00B17AE6">
              <w:rPr>
                <w:rFonts w:ascii="Verdana" w:hAnsi="Verdana"/>
                <w:sz w:val="18"/>
                <w:szCs w:val="18"/>
              </w:rPr>
              <w:t>3.984.035</w:t>
            </w:r>
          </w:p>
        </w:tc>
      </w:tr>
      <w:tr w:rsidR="001703AE" w:rsidRPr="00B17AE6" w14:paraId="05F9B022" w14:textId="77777777" w:rsidTr="00B17AE6">
        <w:trPr>
          <w:trHeight w:val="288"/>
        </w:trPr>
        <w:tc>
          <w:tcPr>
            <w:tcW w:w="4847" w:type="dxa"/>
            <w:noWrap/>
          </w:tcPr>
          <w:p w14:paraId="2D354A3F" w14:textId="5FBCA9BD" w:rsidR="001703AE" w:rsidRPr="00B17AE6" w:rsidRDefault="001703AE" w:rsidP="00C05A15">
            <w:pPr>
              <w:rPr>
                <w:rFonts w:ascii="Verdana" w:hAnsi="Verdana"/>
                <w:sz w:val="18"/>
                <w:szCs w:val="18"/>
              </w:rPr>
            </w:pPr>
            <w:r w:rsidRPr="00B17AE6">
              <w:rPr>
                <w:rFonts w:ascii="Verdana" w:hAnsi="Verdana"/>
                <w:sz w:val="18"/>
                <w:szCs w:val="18"/>
              </w:rPr>
              <w:t>Verkoop 12% - gewoon tarief</w:t>
            </w:r>
          </w:p>
        </w:tc>
        <w:tc>
          <w:tcPr>
            <w:tcW w:w="2037" w:type="dxa"/>
            <w:noWrap/>
          </w:tcPr>
          <w:p w14:paraId="706E27C7" w14:textId="3CD7CF45" w:rsidR="001703AE" w:rsidRPr="00B17AE6" w:rsidRDefault="001703AE" w:rsidP="00C05A15">
            <w:pPr>
              <w:jc w:val="right"/>
              <w:rPr>
                <w:rFonts w:ascii="Verdana" w:hAnsi="Verdana"/>
                <w:sz w:val="18"/>
                <w:szCs w:val="18"/>
              </w:rPr>
            </w:pPr>
            <w:r w:rsidRPr="00B17AE6">
              <w:rPr>
                <w:rFonts w:ascii="Verdana" w:hAnsi="Verdana"/>
                <w:sz w:val="18"/>
                <w:szCs w:val="18"/>
              </w:rPr>
              <w:t>13.647.151</w:t>
            </w:r>
          </w:p>
        </w:tc>
        <w:tc>
          <w:tcPr>
            <w:tcW w:w="2178" w:type="dxa"/>
            <w:noWrap/>
          </w:tcPr>
          <w:p w14:paraId="4CF8F5C7" w14:textId="78F1B0D8" w:rsidR="001703AE" w:rsidRPr="00B17AE6" w:rsidRDefault="001703AE" w:rsidP="00C05A15">
            <w:pPr>
              <w:jc w:val="right"/>
              <w:rPr>
                <w:rFonts w:ascii="Verdana" w:hAnsi="Verdana"/>
                <w:sz w:val="18"/>
                <w:szCs w:val="18"/>
              </w:rPr>
            </w:pPr>
            <w:r w:rsidRPr="00B17AE6">
              <w:rPr>
                <w:rFonts w:ascii="Verdana" w:hAnsi="Verdana"/>
                <w:sz w:val="18"/>
                <w:szCs w:val="18"/>
              </w:rPr>
              <w:t>2.452.767</w:t>
            </w:r>
          </w:p>
        </w:tc>
      </w:tr>
      <w:tr w:rsidR="002139D0" w:rsidRPr="00B17AE6" w14:paraId="7E4705D4" w14:textId="77777777" w:rsidTr="00B17AE6">
        <w:trPr>
          <w:trHeight w:val="288"/>
        </w:trPr>
        <w:tc>
          <w:tcPr>
            <w:tcW w:w="4847" w:type="dxa"/>
            <w:noWrap/>
            <w:hideMark/>
          </w:tcPr>
          <w:p w14:paraId="3B5BA1F9" w14:textId="77777777" w:rsidR="002139D0" w:rsidRPr="00B17AE6" w:rsidRDefault="002139D0" w:rsidP="00C05A15">
            <w:pPr>
              <w:rPr>
                <w:rFonts w:ascii="Verdana" w:hAnsi="Verdana"/>
                <w:sz w:val="18"/>
                <w:szCs w:val="18"/>
              </w:rPr>
            </w:pPr>
            <w:r w:rsidRPr="00B17AE6">
              <w:rPr>
                <w:rFonts w:ascii="Verdana" w:hAnsi="Verdana"/>
                <w:sz w:val="18"/>
                <w:szCs w:val="18"/>
              </w:rPr>
              <w:t>Verkoop 6% - oud tarief klein beschrijf</w:t>
            </w:r>
          </w:p>
        </w:tc>
        <w:tc>
          <w:tcPr>
            <w:tcW w:w="2037" w:type="dxa"/>
            <w:noWrap/>
          </w:tcPr>
          <w:p w14:paraId="4561B36F" w14:textId="177D726E" w:rsidR="002139D0" w:rsidRPr="00B17AE6" w:rsidRDefault="001703AE" w:rsidP="00C05A15">
            <w:pPr>
              <w:jc w:val="right"/>
              <w:rPr>
                <w:rFonts w:ascii="Verdana" w:hAnsi="Verdana"/>
                <w:sz w:val="18"/>
                <w:szCs w:val="18"/>
              </w:rPr>
            </w:pPr>
            <w:r w:rsidRPr="00B17AE6">
              <w:rPr>
                <w:rFonts w:ascii="Verdana" w:hAnsi="Verdana"/>
                <w:sz w:val="18"/>
                <w:szCs w:val="18"/>
              </w:rPr>
              <w:t>426.615</w:t>
            </w:r>
          </w:p>
        </w:tc>
        <w:tc>
          <w:tcPr>
            <w:tcW w:w="2178" w:type="dxa"/>
            <w:noWrap/>
          </w:tcPr>
          <w:p w14:paraId="502D8B54" w14:textId="695E4175" w:rsidR="002139D0" w:rsidRPr="00B17AE6" w:rsidRDefault="001703AE" w:rsidP="00C05A15">
            <w:pPr>
              <w:jc w:val="right"/>
              <w:rPr>
                <w:rFonts w:ascii="Verdana" w:hAnsi="Verdana"/>
                <w:sz w:val="18"/>
                <w:szCs w:val="18"/>
              </w:rPr>
            </w:pPr>
            <w:r w:rsidRPr="00B17AE6">
              <w:rPr>
                <w:rFonts w:ascii="Verdana" w:hAnsi="Verdana"/>
                <w:sz w:val="18"/>
                <w:szCs w:val="18"/>
              </w:rPr>
              <w:t>26.000</w:t>
            </w:r>
          </w:p>
        </w:tc>
      </w:tr>
      <w:tr w:rsidR="002139D0" w:rsidRPr="00B17AE6" w14:paraId="04748BA0" w14:textId="77777777" w:rsidTr="00B17AE6">
        <w:trPr>
          <w:trHeight w:val="288"/>
        </w:trPr>
        <w:tc>
          <w:tcPr>
            <w:tcW w:w="4847" w:type="dxa"/>
            <w:noWrap/>
            <w:hideMark/>
          </w:tcPr>
          <w:p w14:paraId="05B7A0F0" w14:textId="77777777" w:rsidR="002139D0" w:rsidRPr="00B17AE6" w:rsidRDefault="002139D0" w:rsidP="00C05A15">
            <w:pPr>
              <w:rPr>
                <w:rFonts w:ascii="Verdana" w:hAnsi="Verdana"/>
                <w:sz w:val="18"/>
                <w:szCs w:val="18"/>
              </w:rPr>
            </w:pPr>
            <w:r w:rsidRPr="00B17AE6">
              <w:rPr>
                <w:rFonts w:ascii="Verdana" w:hAnsi="Verdana"/>
                <w:sz w:val="18"/>
                <w:szCs w:val="18"/>
              </w:rPr>
              <w:t>Verkoop verlaagd tarief gezinswoning 6%</w:t>
            </w:r>
          </w:p>
        </w:tc>
        <w:tc>
          <w:tcPr>
            <w:tcW w:w="2037" w:type="dxa"/>
            <w:noWrap/>
          </w:tcPr>
          <w:p w14:paraId="70A5C1AB" w14:textId="3160B0C6" w:rsidR="002139D0" w:rsidRPr="00B17AE6" w:rsidRDefault="001703AE" w:rsidP="00C05A15">
            <w:pPr>
              <w:jc w:val="right"/>
              <w:rPr>
                <w:rFonts w:ascii="Verdana" w:hAnsi="Verdana"/>
                <w:sz w:val="18"/>
                <w:szCs w:val="18"/>
              </w:rPr>
            </w:pPr>
            <w:r w:rsidRPr="00B17AE6">
              <w:rPr>
                <w:rFonts w:ascii="Verdana" w:hAnsi="Verdana"/>
                <w:sz w:val="18"/>
                <w:szCs w:val="18"/>
              </w:rPr>
              <w:t>35.7</w:t>
            </w:r>
            <w:r w:rsidR="005E2A3C" w:rsidRPr="00B17AE6">
              <w:rPr>
                <w:rFonts w:ascii="Verdana" w:hAnsi="Verdana"/>
                <w:sz w:val="18"/>
                <w:szCs w:val="18"/>
              </w:rPr>
              <w:t>71.223</w:t>
            </w:r>
          </w:p>
        </w:tc>
        <w:tc>
          <w:tcPr>
            <w:tcW w:w="2178" w:type="dxa"/>
            <w:noWrap/>
          </w:tcPr>
          <w:p w14:paraId="2203BCF3" w14:textId="656A626F" w:rsidR="002139D0" w:rsidRPr="00B17AE6" w:rsidRDefault="001703AE" w:rsidP="00C05A15">
            <w:pPr>
              <w:jc w:val="right"/>
              <w:rPr>
                <w:rFonts w:ascii="Verdana" w:hAnsi="Verdana"/>
                <w:sz w:val="18"/>
                <w:szCs w:val="18"/>
              </w:rPr>
            </w:pPr>
            <w:r w:rsidRPr="00B17AE6">
              <w:rPr>
                <w:rFonts w:ascii="Verdana" w:hAnsi="Verdana"/>
                <w:sz w:val="18"/>
                <w:szCs w:val="18"/>
              </w:rPr>
              <w:t>4.</w:t>
            </w:r>
            <w:r w:rsidR="005E2A3C" w:rsidRPr="00B17AE6">
              <w:rPr>
                <w:rFonts w:ascii="Verdana" w:hAnsi="Verdana"/>
                <w:sz w:val="18"/>
                <w:szCs w:val="18"/>
              </w:rPr>
              <w:t>504.487</w:t>
            </w:r>
          </w:p>
        </w:tc>
      </w:tr>
      <w:tr w:rsidR="002139D0" w:rsidRPr="00B17AE6" w14:paraId="7827AF33" w14:textId="77777777" w:rsidTr="00B17AE6">
        <w:trPr>
          <w:trHeight w:val="288"/>
        </w:trPr>
        <w:tc>
          <w:tcPr>
            <w:tcW w:w="4847" w:type="dxa"/>
            <w:noWrap/>
            <w:hideMark/>
          </w:tcPr>
          <w:p w14:paraId="3187BA65" w14:textId="77777777" w:rsidR="002139D0" w:rsidRPr="00B17AE6" w:rsidRDefault="002139D0" w:rsidP="00C05A15">
            <w:pPr>
              <w:jc w:val="both"/>
              <w:rPr>
                <w:rFonts w:ascii="Verdana" w:hAnsi="Verdana"/>
                <w:sz w:val="18"/>
                <w:szCs w:val="18"/>
              </w:rPr>
            </w:pPr>
            <w:r w:rsidRPr="00B17AE6">
              <w:rPr>
                <w:rFonts w:ascii="Verdana" w:hAnsi="Verdana"/>
                <w:sz w:val="18"/>
                <w:szCs w:val="18"/>
              </w:rPr>
              <w:t>Verkoop verlaagd tarief gezinswoning IER 5%</w:t>
            </w:r>
          </w:p>
        </w:tc>
        <w:tc>
          <w:tcPr>
            <w:tcW w:w="2037" w:type="dxa"/>
            <w:noWrap/>
          </w:tcPr>
          <w:p w14:paraId="3F06720F" w14:textId="1392C521" w:rsidR="002139D0" w:rsidRPr="00B17AE6" w:rsidRDefault="001703AE" w:rsidP="00C05A15">
            <w:pPr>
              <w:jc w:val="right"/>
              <w:rPr>
                <w:rFonts w:ascii="Verdana" w:hAnsi="Verdana"/>
                <w:sz w:val="18"/>
                <w:szCs w:val="18"/>
              </w:rPr>
            </w:pPr>
            <w:r w:rsidRPr="00B17AE6">
              <w:rPr>
                <w:rFonts w:ascii="Verdana" w:hAnsi="Verdana"/>
                <w:sz w:val="18"/>
                <w:szCs w:val="18"/>
              </w:rPr>
              <w:t>163.889</w:t>
            </w:r>
          </w:p>
        </w:tc>
        <w:tc>
          <w:tcPr>
            <w:tcW w:w="2178" w:type="dxa"/>
            <w:noWrap/>
          </w:tcPr>
          <w:p w14:paraId="75527A38" w14:textId="38639C1A" w:rsidR="002139D0" w:rsidRPr="00B17AE6" w:rsidRDefault="001703AE" w:rsidP="00C05A15">
            <w:pPr>
              <w:jc w:val="right"/>
              <w:rPr>
                <w:rFonts w:ascii="Verdana" w:hAnsi="Verdana"/>
                <w:sz w:val="18"/>
                <w:szCs w:val="18"/>
              </w:rPr>
            </w:pPr>
            <w:r w:rsidRPr="00B17AE6">
              <w:rPr>
                <w:rFonts w:ascii="Verdana" w:hAnsi="Verdana"/>
                <w:sz w:val="18"/>
                <w:szCs w:val="18"/>
              </w:rPr>
              <w:t>33.288</w:t>
            </w:r>
          </w:p>
        </w:tc>
      </w:tr>
      <w:tr w:rsidR="002139D0" w:rsidRPr="00B17AE6" w14:paraId="52B2F2ED" w14:textId="77777777" w:rsidTr="00B17AE6">
        <w:trPr>
          <w:trHeight w:val="288"/>
        </w:trPr>
        <w:tc>
          <w:tcPr>
            <w:tcW w:w="4847" w:type="dxa"/>
            <w:noWrap/>
            <w:hideMark/>
          </w:tcPr>
          <w:p w14:paraId="25793748" w14:textId="77777777" w:rsidR="002139D0" w:rsidRPr="00B17AE6" w:rsidRDefault="002139D0" w:rsidP="00C05A15">
            <w:pPr>
              <w:jc w:val="both"/>
              <w:rPr>
                <w:rFonts w:ascii="Verdana" w:hAnsi="Verdana"/>
                <w:sz w:val="18"/>
                <w:szCs w:val="18"/>
              </w:rPr>
            </w:pPr>
            <w:r w:rsidRPr="00B17AE6">
              <w:rPr>
                <w:rFonts w:ascii="Verdana" w:hAnsi="Verdana"/>
                <w:sz w:val="18"/>
                <w:szCs w:val="18"/>
              </w:rPr>
              <w:t>Verkoop verlaagd tarief gezinswoning IER 6%</w:t>
            </w:r>
          </w:p>
        </w:tc>
        <w:tc>
          <w:tcPr>
            <w:tcW w:w="2037" w:type="dxa"/>
            <w:noWrap/>
          </w:tcPr>
          <w:p w14:paraId="364A9375" w14:textId="589F97E7" w:rsidR="002139D0" w:rsidRPr="00B17AE6" w:rsidRDefault="001703AE" w:rsidP="00C05A15">
            <w:pPr>
              <w:jc w:val="right"/>
              <w:rPr>
                <w:rFonts w:ascii="Verdana" w:hAnsi="Verdana"/>
                <w:sz w:val="18"/>
                <w:szCs w:val="18"/>
              </w:rPr>
            </w:pPr>
            <w:r w:rsidRPr="00B17AE6">
              <w:rPr>
                <w:rFonts w:ascii="Verdana" w:hAnsi="Verdana"/>
                <w:sz w:val="18"/>
                <w:szCs w:val="18"/>
              </w:rPr>
              <w:t>28.540</w:t>
            </w:r>
          </w:p>
        </w:tc>
        <w:tc>
          <w:tcPr>
            <w:tcW w:w="2178" w:type="dxa"/>
            <w:noWrap/>
          </w:tcPr>
          <w:p w14:paraId="6607C239" w14:textId="390A9C3F" w:rsidR="002139D0" w:rsidRPr="00B17AE6" w:rsidRDefault="002139D0" w:rsidP="00C05A15">
            <w:pPr>
              <w:jc w:val="right"/>
              <w:rPr>
                <w:rFonts w:ascii="Verdana" w:hAnsi="Verdana"/>
                <w:sz w:val="18"/>
                <w:szCs w:val="18"/>
              </w:rPr>
            </w:pPr>
          </w:p>
        </w:tc>
      </w:tr>
      <w:tr w:rsidR="002139D0" w:rsidRPr="00DD6D22" w14:paraId="3B425287" w14:textId="77777777" w:rsidTr="00B17AE6">
        <w:trPr>
          <w:trHeight w:val="288"/>
        </w:trPr>
        <w:tc>
          <w:tcPr>
            <w:tcW w:w="4847" w:type="dxa"/>
            <w:noWrap/>
            <w:hideMark/>
          </w:tcPr>
          <w:p w14:paraId="0225605A" w14:textId="77777777" w:rsidR="002139D0" w:rsidRPr="00B17AE6" w:rsidRDefault="002139D0" w:rsidP="00C05A15">
            <w:pPr>
              <w:rPr>
                <w:rFonts w:ascii="Verdana" w:hAnsi="Verdana"/>
                <w:b/>
                <w:bCs/>
                <w:sz w:val="18"/>
                <w:szCs w:val="18"/>
              </w:rPr>
            </w:pPr>
            <w:r w:rsidRPr="00B17AE6">
              <w:rPr>
                <w:rFonts w:ascii="Verdana" w:hAnsi="Verdana"/>
                <w:b/>
                <w:bCs/>
                <w:sz w:val="18"/>
                <w:szCs w:val="18"/>
              </w:rPr>
              <w:t>TOTAAL</w:t>
            </w:r>
          </w:p>
        </w:tc>
        <w:tc>
          <w:tcPr>
            <w:tcW w:w="2037" w:type="dxa"/>
            <w:noWrap/>
          </w:tcPr>
          <w:p w14:paraId="6EEE07ED" w14:textId="2681F87A" w:rsidR="002139D0" w:rsidRPr="00B17AE6" w:rsidRDefault="001703AE" w:rsidP="00C05A15">
            <w:pPr>
              <w:jc w:val="right"/>
              <w:rPr>
                <w:rFonts w:ascii="Verdana" w:hAnsi="Verdana"/>
                <w:b/>
                <w:bCs/>
                <w:sz w:val="18"/>
                <w:szCs w:val="18"/>
              </w:rPr>
            </w:pPr>
            <w:r w:rsidRPr="00B17AE6">
              <w:rPr>
                <w:rFonts w:ascii="Verdana" w:hAnsi="Verdana"/>
                <w:b/>
                <w:bCs/>
                <w:sz w:val="18"/>
                <w:szCs w:val="18"/>
              </w:rPr>
              <w:t>57.463.531</w:t>
            </w:r>
          </w:p>
        </w:tc>
        <w:tc>
          <w:tcPr>
            <w:tcW w:w="2178" w:type="dxa"/>
            <w:noWrap/>
          </w:tcPr>
          <w:p w14:paraId="3CB307E3" w14:textId="6971892B" w:rsidR="002139D0" w:rsidRPr="00DD6D22" w:rsidRDefault="001703AE" w:rsidP="00C05A15">
            <w:pPr>
              <w:jc w:val="right"/>
              <w:rPr>
                <w:rFonts w:ascii="Verdana" w:hAnsi="Verdana"/>
                <w:b/>
                <w:bCs/>
                <w:sz w:val="18"/>
                <w:szCs w:val="18"/>
              </w:rPr>
            </w:pPr>
            <w:r w:rsidRPr="00B17AE6">
              <w:rPr>
                <w:rFonts w:ascii="Verdana" w:hAnsi="Verdana"/>
                <w:b/>
                <w:bCs/>
                <w:sz w:val="18"/>
                <w:szCs w:val="18"/>
              </w:rPr>
              <w:t>11.000.577</w:t>
            </w:r>
          </w:p>
        </w:tc>
      </w:tr>
    </w:tbl>
    <w:p w14:paraId="7A64CE52" w14:textId="77777777" w:rsidR="002139D0" w:rsidRDefault="002139D0" w:rsidP="002139D0">
      <w:pPr>
        <w:jc w:val="both"/>
        <w:rPr>
          <w:rFonts w:ascii="Verdana" w:hAnsi="Verdana"/>
          <w:sz w:val="20"/>
          <w:szCs w:val="20"/>
        </w:rPr>
      </w:pPr>
    </w:p>
    <w:p w14:paraId="084C125C" w14:textId="589E2AA9" w:rsidR="002139D0" w:rsidRPr="005D21F1" w:rsidRDefault="002139D0" w:rsidP="002139D0">
      <w:pPr>
        <w:numPr>
          <w:ilvl w:val="0"/>
          <w:numId w:val="12"/>
        </w:numPr>
        <w:ind w:left="284" w:hanging="284"/>
        <w:jc w:val="both"/>
        <w:rPr>
          <w:rFonts w:ascii="Verdana" w:hAnsi="Verdana"/>
          <w:sz w:val="20"/>
          <w:szCs w:val="20"/>
        </w:rPr>
      </w:pPr>
      <w:r w:rsidRPr="005D21F1">
        <w:rPr>
          <w:rFonts w:ascii="Verdana" w:hAnsi="Verdana"/>
          <w:sz w:val="20"/>
          <w:szCs w:val="20"/>
        </w:rPr>
        <w:t xml:space="preserve">In onderstaande tabel </w:t>
      </w:r>
      <w:r>
        <w:rPr>
          <w:rFonts w:ascii="Verdana" w:hAnsi="Verdana"/>
          <w:sz w:val="20"/>
          <w:szCs w:val="20"/>
        </w:rPr>
        <w:t>vindt u voor aanslagjaar 202</w:t>
      </w:r>
      <w:r w:rsidR="00DD6D22">
        <w:rPr>
          <w:rFonts w:ascii="Verdana" w:hAnsi="Verdana"/>
          <w:sz w:val="20"/>
          <w:szCs w:val="20"/>
        </w:rPr>
        <w:t>2</w:t>
      </w:r>
      <w:r>
        <w:rPr>
          <w:rFonts w:ascii="Verdana" w:hAnsi="Verdana"/>
          <w:sz w:val="20"/>
          <w:szCs w:val="20"/>
        </w:rPr>
        <w:t xml:space="preserve"> </w:t>
      </w:r>
      <w:r w:rsidRPr="006F314C">
        <w:rPr>
          <w:rFonts w:ascii="Verdana" w:hAnsi="Verdana"/>
          <w:sz w:val="20"/>
          <w:szCs w:val="20"/>
        </w:rPr>
        <w:t xml:space="preserve">de verschuldigde </w:t>
      </w:r>
      <w:r>
        <w:rPr>
          <w:rFonts w:ascii="Verdana" w:hAnsi="Verdana"/>
          <w:sz w:val="20"/>
          <w:szCs w:val="20"/>
        </w:rPr>
        <w:t>schenkbelasting</w:t>
      </w:r>
      <w:r w:rsidRPr="006F314C">
        <w:rPr>
          <w:rFonts w:ascii="Verdana" w:hAnsi="Verdana"/>
          <w:sz w:val="20"/>
          <w:szCs w:val="20"/>
        </w:rPr>
        <w:t xml:space="preserve"> na verminderingen en vrijstellingen, opgedeeld volgens de aard van de geschonken goederen</w:t>
      </w:r>
      <w:r>
        <w:rPr>
          <w:rFonts w:ascii="Verdana" w:hAnsi="Verdana"/>
          <w:sz w:val="20"/>
          <w:szCs w:val="20"/>
        </w:rPr>
        <w:t xml:space="preserve">. </w:t>
      </w:r>
    </w:p>
    <w:p w14:paraId="6968FC8E" w14:textId="77777777" w:rsidR="002139D0" w:rsidRPr="005D21F1" w:rsidRDefault="002139D0" w:rsidP="002139D0">
      <w:pPr>
        <w:rPr>
          <w:rFonts w:ascii="Verdana" w:hAnsi="Verdana"/>
          <w:sz w:val="20"/>
          <w:szCs w:val="20"/>
        </w:rPr>
      </w:pPr>
    </w:p>
    <w:tbl>
      <w:tblPr>
        <w:tblStyle w:val="Tabelraster"/>
        <w:tblW w:w="0" w:type="auto"/>
        <w:tblLook w:val="04A0" w:firstRow="1" w:lastRow="0" w:firstColumn="1" w:lastColumn="0" w:noHBand="0" w:noVBand="1"/>
      </w:tblPr>
      <w:tblGrid>
        <w:gridCol w:w="4531"/>
        <w:gridCol w:w="4531"/>
      </w:tblGrid>
      <w:tr w:rsidR="002139D0" w14:paraId="230CD230" w14:textId="77777777" w:rsidTr="00C05A15">
        <w:tc>
          <w:tcPr>
            <w:tcW w:w="4531" w:type="dxa"/>
          </w:tcPr>
          <w:p w14:paraId="7BADC912" w14:textId="77777777" w:rsidR="002139D0" w:rsidRPr="008378C8" w:rsidRDefault="002139D0" w:rsidP="00C05A15">
            <w:pPr>
              <w:rPr>
                <w:rFonts w:ascii="Verdana" w:hAnsi="Verdana"/>
                <w:b/>
                <w:bCs/>
                <w:sz w:val="20"/>
                <w:szCs w:val="20"/>
              </w:rPr>
            </w:pPr>
            <w:r>
              <w:rPr>
                <w:rFonts w:ascii="Verdana" w:hAnsi="Verdana"/>
                <w:b/>
                <w:bCs/>
                <w:sz w:val="20"/>
                <w:szCs w:val="20"/>
              </w:rPr>
              <w:t>Aard goederen</w:t>
            </w:r>
          </w:p>
        </w:tc>
        <w:tc>
          <w:tcPr>
            <w:tcW w:w="4531" w:type="dxa"/>
          </w:tcPr>
          <w:p w14:paraId="5507B08C" w14:textId="77777777" w:rsidR="002139D0" w:rsidRDefault="002139D0" w:rsidP="00C05A15">
            <w:pPr>
              <w:jc w:val="right"/>
              <w:rPr>
                <w:rFonts w:ascii="Verdana" w:hAnsi="Verdana"/>
                <w:sz w:val="20"/>
                <w:szCs w:val="20"/>
              </w:rPr>
            </w:pPr>
            <w:r w:rsidRPr="008378C8">
              <w:rPr>
                <w:rFonts w:ascii="Verdana" w:hAnsi="Verdana"/>
                <w:b/>
                <w:bCs/>
                <w:sz w:val="20"/>
                <w:szCs w:val="20"/>
              </w:rPr>
              <w:t xml:space="preserve">Verschuldigde rechten </w:t>
            </w:r>
            <w:r>
              <w:rPr>
                <w:rFonts w:ascii="Verdana" w:hAnsi="Verdana"/>
                <w:b/>
                <w:bCs/>
                <w:sz w:val="20"/>
                <w:szCs w:val="20"/>
              </w:rPr>
              <w:t>(in euro)</w:t>
            </w:r>
          </w:p>
        </w:tc>
      </w:tr>
      <w:tr w:rsidR="002139D0" w14:paraId="544A4F98" w14:textId="77777777" w:rsidTr="00C05A15">
        <w:tc>
          <w:tcPr>
            <w:tcW w:w="4531" w:type="dxa"/>
          </w:tcPr>
          <w:p w14:paraId="3DE8416C" w14:textId="77777777" w:rsidR="002139D0" w:rsidRDefault="002139D0" w:rsidP="00C05A15">
            <w:pPr>
              <w:rPr>
                <w:rFonts w:ascii="Verdana" w:hAnsi="Verdana"/>
                <w:sz w:val="20"/>
                <w:szCs w:val="20"/>
              </w:rPr>
            </w:pPr>
            <w:r>
              <w:rPr>
                <w:rFonts w:ascii="Verdana" w:hAnsi="Verdana"/>
                <w:sz w:val="20"/>
                <w:szCs w:val="20"/>
              </w:rPr>
              <w:t>Schenking onroerend</w:t>
            </w:r>
          </w:p>
        </w:tc>
        <w:tc>
          <w:tcPr>
            <w:tcW w:w="4531" w:type="dxa"/>
          </w:tcPr>
          <w:p w14:paraId="122298BD" w14:textId="61F77CD1" w:rsidR="002139D0" w:rsidRDefault="00556972" w:rsidP="00C05A15">
            <w:pPr>
              <w:jc w:val="right"/>
              <w:rPr>
                <w:rFonts w:ascii="Verdana" w:hAnsi="Verdana"/>
                <w:sz w:val="20"/>
                <w:szCs w:val="20"/>
              </w:rPr>
            </w:pPr>
            <w:r>
              <w:rPr>
                <w:rFonts w:ascii="Verdana" w:hAnsi="Verdana"/>
                <w:sz w:val="20"/>
                <w:szCs w:val="20"/>
              </w:rPr>
              <w:t>246.225.244</w:t>
            </w:r>
          </w:p>
        </w:tc>
      </w:tr>
      <w:tr w:rsidR="002139D0" w14:paraId="5779C987" w14:textId="77777777" w:rsidTr="00C05A15">
        <w:tc>
          <w:tcPr>
            <w:tcW w:w="4531" w:type="dxa"/>
          </w:tcPr>
          <w:p w14:paraId="41DC5841" w14:textId="77777777" w:rsidR="002139D0" w:rsidRDefault="002139D0" w:rsidP="00C05A15">
            <w:pPr>
              <w:rPr>
                <w:rFonts w:ascii="Verdana" w:hAnsi="Verdana"/>
                <w:sz w:val="20"/>
                <w:szCs w:val="20"/>
              </w:rPr>
            </w:pPr>
            <w:r>
              <w:rPr>
                <w:rFonts w:ascii="Verdana" w:hAnsi="Verdana"/>
                <w:sz w:val="20"/>
                <w:szCs w:val="20"/>
              </w:rPr>
              <w:t>Schenking roerend</w:t>
            </w:r>
          </w:p>
        </w:tc>
        <w:tc>
          <w:tcPr>
            <w:tcW w:w="4531" w:type="dxa"/>
          </w:tcPr>
          <w:p w14:paraId="3D328DE1" w14:textId="534D1B3C" w:rsidR="002139D0" w:rsidRDefault="00556972" w:rsidP="00C05A15">
            <w:pPr>
              <w:jc w:val="right"/>
              <w:rPr>
                <w:rFonts w:ascii="Verdana" w:hAnsi="Verdana"/>
                <w:sz w:val="20"/>
                <w:szCs w:val="20"/>
              </w:rPr>
            </w:pPr>
            <w:r>
              <w:rPr>
                <w:rFonts w:ascii="Verdana" w:hAnsi="Verdana"/>
                <w:sz w:val="20"/>
                <w:szCs w:val="20"/>
              </w:rPr>
              <w:t>224.352.471</w:t>
            </w:r>
          </w:p>
        </w:tc>
      </w:tr>
      <w:tr w:rsidR="002139D0" w14:paraId="6BA16DBA" w14:textId="77777777" w:rsidTr="00C05A15">
        <w:tc>
          <w:tcPr>
            <w:tcW w:w="4531" w:type="dxa"/>
          </w:tcPr>
          <w:p w14:paraId="7635233F" w14:textId="77777777" w:rsidR="002139D0" w:rsidRPr="00E17D4B" w:rsidRDefault="002139D0" w:rsidP="00C05A15">
            <w:pPr>
              <w:rPr>
                <w:rFonts w:ascii="Verdana" w:hAnsi="Verdana"/>
                <w:b/>
                <w:bCs/>
                <w:sz w:val="20"/>
                <w:szCs w:val="20"/>
              </w:rPr>
            </w:pPr>
            <w:r w:rsidRPr="00E17D4B">
              <w:rPr>
                <w:rFonts w:ascii="Verdana" w:hAnsi="Verdana"/>
                <w:b/>
                <w:bCs/>
                <w:sz w:val="20"/>
                <w:szCs w:val="20"/>
              </w:rPr>
              <w:t>TOTAAL</w:t>
            </w:r>
          </w:p>
        </w:tc>
        <w:tc>
          <w:tcPr>
            <w:tcW w:w="4531" w:type="dxa"/>
          </w:tcPr>
          <w:p w14:paraId="6F96149B" w14:textId="279AC5BA" w:rsidR="002139D0" w:rsidRPr="00DD0563" w:rsidRDefault="00556972" w:rsidP="00C05A15">
            <w:pPr>
              <w:jc w:val="right"/>
              <w:rPr>
                <w:rFonts w:ascii="Verdana" w:hAnsi="Verdana"/>
                <w:b/>
                <w:bCs/>
                <w:sz w:val="20"/>
                <w:szCs w:val="20"/>
              </w:rPr>
            </w:pPr>
            <w:r>
              <w:rPr>
                <w:rFonts w:ascii="Verdana" w:hAnsi="Verdana"/>
                <w:b/>
                <w:bCs/>
                <w:sz w:val="20"/>
                <w:szCs w:val="20"/>
              </w:rPr>
              <w:t>470.577.715</w:t>
            </w:r>
          </w:p>
        </w:tc>
      </w:tr>
    </w:tbl>
    <w:p w14:paraId="2AFB564F" w14:textId="77777777" w:rsidR="002139D0" w:rsidRDefault="002139D0" w:rsidP="002139D0">
      <w:pPr>
        <w:rPr>
          <w:rFonts w:ascii="Verdana" w:hAnsi="Verdana"/>
          <w:sz w:val="20"/>
          <w:szCs w:val="20"/>
        </w:rPr>
      </w:pPr>
    </w:p>
    <w:p w14:paraId="072AD12C" w14:textId="50720CFC" w:rsidR="002139D0" w:rsidRPr="00E21903" w:rsidRDefault="00556972" w:rsidP="002139D0">
      <w:pPr>
        <w:ind w:left="284"/>
        <w:jc w:val="both"/>
        <w:rPr>
          <w:rFonts w:ascii="Verdana" w:hAnsi="Verdana"/>
          <w:sz w:val="20"/>
          <w:szCs w:val="20"/>
        </w:rPr>
      </w:pPr>
      <w:r>
        <w:rPr>
          <w:rFonts w:ascii="Verdana" w:hAnsi="Verdana"/>
          <w:sz w:val="20"/>
          <w:szCs w:val="20"/>
        </w:rPr>
        <w:t>V</w:t>
      </w:r>
      <w:r w:rsidRPr="00E21903">
        <w:rPr>
          <w:rFonts w:ascii="Verdana" w:hAnsi="Verdana"/>
          <w:sz w:val="20"/>
          <w:szCs w:val="20"/>
        </w:rPr>
        <w:t>oor 202</w:t>
      </w:r>
      <w:r>
        <w:rPr>
          <w:rFonts w:ascii="Verdana" w:hAnsi="Verdana"/>
          <w:sz w:val="20"/>
          <w:szCs w:val="20"/>
        </w:rPr>
        <w:t>2 werd</w:t>
      </w:r>
      <w:r w:rsidRPr="00E21903">
        <w:rPr>
          <w:rFonts w:ascii="Verdana" w:hAnsi="Verdana"/>
          <w:sz w:val="20"/>
          <w:szCs w:val="20"/>
        </w:rPr>
        <w:t xml:space="preserve"> </w:t>
      </w:r>
      <w:r>
        <w:rPr>
          <w:rFonts w:ascii="Verdana" w:hAnsi="Verdana"/>
          <w:sz w:val="20"/>
          <w:szCs w:val="20"/>
        </w:rPr>
        <w:t>v</w:t>
      </w:r>
      <w:r w:rsidR="002139D0" w:rsidRPr="00E21903">
        <w:rPr>
          <w:rFonts w:ascii="Verdana" w:hAnsi="Verdana"/>
          <w:sz w:val="20"/>
          <w:szCs w:val="20"/>
        </w:rPr>
        <w:t>olgens de ESR-</w:t>
      </w:r>
      <w:proofErr w:type="spellStart"/>
      <w:r w:rsidR="002139D0" w:rsidRPr="00E21903">
        <w:rPr>
          <w:rFonts w:ascii="Verdana" w:hAnsi="Verdana"/>
          <w:sz w:val="20"/>
          <w:szCs w:val="20"/>
        </w:rPr>
        <w:t>aanrekeningsmethode</w:t>
      </w:r>
      <w:proofErr w:type="spellEnd"/>
      <w:r w:rsidR="002139D0" w:rsidRPr="00E21903">
        <w:rPr>
          <w:rFonts w:ascii="Verdana" w:hAnsi="Verdana"/>
          <w:sz w:val="20"/>
          <w:szCs w:val="20"/>
        </w:rPr>
        <w:t xml:space="preserve"> werd </w:t>
      </w:r>
      <w:r w:rsidRPr="00556972">
        <w:rPr>
          <w:rFonts w:ascii="Verdana" w:hAnsi="Verdana"/>
          <w:sz w:val="20"/>
          <w:szCs w:val="20"/>
        </w:rPr>
        <w:t>463.613.479,15</w:t>
      </w:r>
      <w:r>
        <w:rPr>
          <w:rFonts w:ascii="Verdana" w:hAnsi="Verdana"/>
          <w:sz w:val="20"/>
          <w:szCs w:val="20"/>
        </w:rPr>
        <w:t xml:space="preserve"> </w:t>
      </w:r>
      <w:r w:rsidR="002139D0" w:rsidRPr="00E21903">
        <w:rPr>
          <w:rFonts w:ascii="Verdana" w:hAnsi="Verdana"/>
          <w:sz w:val="20"/>
          <w:szCs w:val="20"/>
        </w:rPr>
        <w:t xml:space="preserve">euro (inclusief intresten en kosten) aan schenkbelasting ontvangen, waarvan </w:t>
      </w:r>
      <w:r w:rsidRPr="00556972">
        <w:rPr>
          <w:rFonts w:ascii="Verdana" w:hAnsi="Verdana"/>
          <w:sz w:val="20"/>
          <w:szCs w:val="20"/>
        </w:rPr>
        <w:t>241.488.235,60</w:t>
      </w:r>
      <w:r>
        <w:rPr>
          <w:rFonts w:ascii="Verdana" w:hAnsi="Verdana"/>
          <w:sz w:val="20"/>
          <w:szCs w:val="20"/>
        </w:rPr>
        <w:t xml:space="preserve"> </w:t>
      </w:r>
      <w:r w:rsidR="002139D0" w:rsidRPr="00E21903">
        <w:rPr>
          <w:rFonts w:ascii="Verdana" w:hAnsi="Verdana"/>
          <w:sz w:val="20"/>
          <w:szCs w:val="20"/>
        </w:rPr>
        <w:t xml:space="preserve">euro voor onroerende schenkingen en </w:t>
      </w:r>
      <w:r w:rsidRPr="00556972">
        <w:rPr>
          <w:rFonts w:ascii="Verdana" w:hAnsi="Verdana"/>
          <w:sz w:val="20"/>
          <w:szCs w:val="20"/>
        </w:rPr>
        <w:t>222.125.243,55</w:t>
      </w:r>
      <w:r>
        <w:rPr>
          <w:rFonts w:ascii="Verdana" w:hAnsi="Verdana"/>
          <w:sz w:val="20"/>
          <w:szCs w:val="20"/>
        </w:rPr>
        <w:t xml:space="preserve"> </w:t>
      </w:r>
      <w:r w:rsidR="002139D0" w:rsidRPr="00E21903">
        <w:rPr>
          <w:rFonts w:ascii="Verdana" w:hAnsi="Verdana"/>
          <w:sz w:val="20"/>
          <w:szCs w:val="20"/>
        </w:rPr>
        <w:t xml:space="preserve">euro voor roerende schenkingen. </w:t>
      </w:r>
    </w:p>
    <w:p w14:paraId="10A72881" w14:textId="77777777" w:rsidR="002139D0" w:rsidRDefault="002139D0" w:rsidP="002139D0">
      <w:pPr>
        <w:jc w:val="both"/>
        <w:rPr>
          <w:rFonts w:ascii="Verdana" w:hAnsi="Verdana"/>
          <w:sz w:val="20"/>
          <w:szCs w:val="20"/>
        </w:rPr>
      </w:pPr>
    </w:p>
    <w:p w14:paraId="77C99415" w14:textId="77777777" w:rsidR="002139D0" w:rsidRPr="00BB017F" w:rsidRDefault="002139D0" w:rsidP="002139D0">
      <w:pPr>
        <w:numPr>
          <w:ilvl w:val="0"/>
          <w:numId w:val="12"/>
        </w:numPr>
        <w:ind w:left="284" w:hanging="284"/>
        <w:jc w:val="both"/>
        <w:rPr>
          <w:rFonts w:ascii="Verdana" w:hAnsi="Verdana"/>
          <w:sz w:val="20"/>
          <w:szCs w:val="20"/>
        </w:rPr>
      </w:pPr>
      <w:r>
        <w:rPr>
          <w:rFonts w:ascii="Verdana" w:hAnsi="Verdana"/>
          <w:sz w:val="20"/>
          <w:szCs w:val="20"/>
        </w:rPr>
        <w:t>Afzonderlijke</w:t>
      </w:r>
      <w:r w:rsidRPr="00BB017F">
        <w:rPr>
          <w:rFonts w:ascii="Verdana" w:hAnsi="Verdana"/>
          <w:sz w:val="20"/>
          <w:szCs w:val="20"/>
        </w:rPr>
        <w:t xml:space="preserve"> </w:t>
      </w:r>
      <w:r>
        <w:rPr>
          <w:rFonts w:ascii="Verdana" w:hAnsi="Verdana"/>
          <w:sz w:val="20"/>
          <w:szCs w:val="20"/>
        </w:rPr>
        <w:t>g</w:t>
      </w:r>
      <w:r w:rsidRPr="00BB017F">
        <w:rPr>
          <w:rFonts w:ascii="Verdana" w:hAnsi="Verdana"/>
          <w:sz w:val="20"/>
          <w:szCs w:val="20"/>
        </w:rPr>
        <w:t>egevens over aankopen van gronden zijn niet beschikbaar voor automatische rapportering</w:t>
      </w:r>
      <w:r>
        <w:rPr>
          <w:rFonts w:ascii="Verdana" w:hAnsi="Verdana"/>
          <w:sz w:val="20"/>
          <w:szCs w:val="20"/>
        </w:rPr>
        <w:t>, maar gronden kunnen deel uitmaken van tariefcategorieën die zijn opgenomen bij vraag 1</w:t>
      </w:r>
      <w:r w:rsidRPr="00BB017F">
        <w:rPr>
          <w:rFonts w:ascii="Verdana" w:hAnsi="Verdana"/>
          <w:sz w:val="20"/>
          <w:szCs w:val="20"/>
        </w:rPr>
        <w:t>.</w:t>
      </w:r>
    </w:p>
    <w:p w14:paraId="0B42E4D1" w14:textId="77777777" w:rsidR="002139D0" w:rsidRDefault="002139D0" w:rsidP="002139D0">
      <w:pPr>
        <w:jc w:val="both"/>
        <w:rPr>
          <w:rFonts w:ascii="Verdana" w:hAnsi="Verdana"/>
          <w:sz w:val="20"/>
          <w:szCs w:val="20"/>
        </w:rPr>
      </w:pPr>
    </w:p>
    <w:p w14:paraId="2050CAB8" w14:textId="14E05A07" w:rsidR="002139D0" w:rsidRDefault="002139D0" w:rsidP="002139D0">
      <w:pPr>
        <w:numPr>
          <w:ilvl w:val="0"/>
          <w:numId w:val="12"/>
        </w:numPr>
        <w:ind w:left="284" w:hanging="284"/>
        <w:jc w:val="both"/>
        <w:rPr>
          <w:rFonts w:ascii="Verdana" w:hAnsi="Verdana"/>
          <w:sz w:val="20"/>
          <w:szCs w:val="20"/>
        </w:rPr>
      </w:pPr>
      <w:r w:rsidRPr="00E21903">
        <w:rPr>
          <w:rFonts w:ascii="Verdana" w:hAnsi="Verdana"/>
          <w:sz w:val="20"/>
          <w:szCs w:val="20"/>
        </w:rPr>
        <w:t>Volgens de ESR-</w:t>
      </w:r>
      <w:proofErr w:type="spellStart"/>
      <w:r w:rsidRPr="00E21903">
        <w:rPr>
          <w:rFonts w:ascii="Verdana" w:hAnsi="Verdana"/>
          <w:sz w:val="20"/>
          <w:szCs w:val="20"/>
        </w:rPr>
        <w:t>aanrekeningsmethode</w:t>
      </w:r>
      <w:proofErr w:type="spellEnd"/>
      <w:r w:rsidRPr="00E21903">
        <w:rPr>
          <w:rFonts w:ascii="Verdana" w:hAnsi="Verdana"/>
          <w:sz w:val="20"/>
          <w:szCs w:val="20"/>
        </w:rPr>
        <w:t xml:space="preserve"> worden de ontvangsten voor erfbelasting voor 202</w:t>
      </w:r>
      <w:r w:rsidR="00F303BE">
        <w:rPr>
          <w:rFonts w:ascii="Verdana" w:hAnsi="Verdana"/>
          <w:sz w:val="20"/>
          <w:szCs w:val="20"/>
        </w:rPr>
        <w:t>2</w:t>
      </w:r>
      <w:r w:rsidRPr="00E21903">
        <w:rPr>
          <w:rFonts w:ascii="Verdana" w:hAnsi="Verdana"/>
          <w:sz w:val="20"/>
          <w:szCs w:val="20"/>
        </w:rPr>
        <w:t xml:space="preserve"> geraamd op </w:t>
      </w:r>
      <w:r w:rsidR="00F303BE" w:rsidRPr="00F303BE">
        <w:rPr>
          <w:rFonts w:ascii="Verdana" w:hAnsi="Verdana"/>
          <w:sz w:val="20"/>
          <w:szCs w:val="20"/>
        </w:rPr>
        <w:t xml:space="preserve">1.598.862.224,51 </w:t>
      </w:r>
      <w:r w:rsidRPr="00E21903">
        <w:rPr>
          <w:rFonts w:ascii="Verdana" w:hAnsi="Verdana"/>
          <w:sz w:val="20"/>
          <w:szCs w:val="20"/>
        </w:rPr>
        <w:t xml:space="preserve">euro (inclusief intresten en kosten, exclusief fiscale regularisatie). Deze </w:t>
      </w:r>
      <w:r w:rsidRPr="009903DD">
        <w:rPr>
          <w:rFonts w:ascii="Verdana" w:hAnsi="Verdana"/>
          <w:sz w:val="20"/>
          <w:szCs w:val="20"/>
        </w:rPr>
        <w:t xml:space="preserve">ESR-ontvangsten zijn een prognose, </w:t>
      </w:r>
      <w:r>
        <w:rPr>
          <w:rFonts w:ascii="Verdana" w:hAnsi="Verdana"/>
          <w:sz w:val="20"/>
          <w:szCs w:val="20"/>
        </w:rPr>
        <w:t>aangezien</w:t>
      </w:r>
      <w:r w:rsidRPr="009903DD">
        <w:rPr>
          <w:rFonts w:ascii="Verdana" w:hAnsi="Verdana"/>
          <w:sz w:val="20"/>
          <w:szCs w:val="20"/>
        </w:rPr>
        <w:t xml:space="preserve"> de ontvangsten tot en met februari 202</w:t>
      </w:r>
      <w:r w:rsidR="00F303BE">
        <w:rPr>
          <w:rFonts w:ascii="Verdana" w:hAnsi="Verdana"/>
          <w:sz w:val="20"/>
          <w:szCs w:val="20"/>
        </w:rPr>
        <w:t>3</w:t>
      </w:r>
      <w:r w:rsidRPr="009903DD">
        <w:rPr>
          <w:rFonts w:ascii="Verdana" w:hAnsi="Verdana"/>
          <w:sz w:val="20"/>
          <w:szCs w:val="20"/>
        </w:rPr>
        <w:t xml:space="preserve"> worden aangerekend op begrotingsjaar 202</w:t>
      </w:r>
      <w:r w:rsidR="00F303BE">
        <w:rPr>
          <w:rFonts w:ascii="Verdana" w:hAnsi="Verdana"/>
          <w:sz w:val="20"/>
          <w:szCs w:val="20"/>
        </w:rPr>
        <w:t>2</w:t>
      </w:r>
      <w:r w:rsidRPr="009903DD">
        <w:rPr>
          <w:rFonts w:ascii="Verdana" w:hAnsi="Verdana"/>
          <w:sz w:val="20"/>
          <w:szCs w:val="20"/>
        </w:rPr>
        <w:t>.</w:t>
      </w:r>
      <w:r w:rsidRPr="00E21903">
        <w:rPr>
          <w:rFonts w:ascii="Verdana" w:hAnsi="Verdana"/>
          <w:sz w:val="20"/>
          <w:szCs w:val="20"/>
        </w:rPr>
        <w:t xml:space="preserve"> </w:t>
      </w:r>
    </w:p>
    <w:p w14:paraId="567DAF70" w14:textId="77777777" w:rsidR="002139D0" w:rsidRDefault="002139D0" w:rsidP="002139D0">
      <w:pPr>
        <w:jc w:val="both"/>
        <w:rPr>
          <w:rFonts w:ascii="Verdana" w:hAnsi="Verdana"/>
          <w:sz w:val="20"/>
          <w:szCs w:val="20"/>
        </w:rPr>
      </w:pPr>
    </w:p>
    <w:p w14:paraId="2EC0372D" w14:textId="77777777" w:rsidR="002139D0" w:rsidRPr="00E21903" w:rsidRDefault="002139D0" w:rsidP="002139D0">
      <w:pPr>
        <w:numPr>
          <w:ilvl w:val="0"/>
          <w:numId w:val="12"/>
        </w:numPr>
        <w:ind w:left="284" w:hanging="284"/>
        <w:jc w:val="both"/>
        <w:rPr>
          <w:rFonts w:ascii="Verdana" w:hAnsi="Verdana"/>
          <w:sz w:val="20"/>
          <w:szCs w:val="20"/>
        </w:rPr>
      </w:pPr>
      <w:r>
        <w:rPr>
          <w:rFonts w:ascii="Verdana" w:hAnsi="Verdana"/>
          <w:sz w:val="20"/>
          <w:szCs w:val="20"/>
        </w:rPr>
        <w:t xml:space="preserve">De meerwaardebelasting is een federale belasting. </w:t>
      </w:r>
      <w:r w:rsidRPr="00E21903">
        <w:rPr>
          <w:rFonts w:ascii="Verdana" w:hAnsi="Verdana"/>
          <w:sz w:val="20"/>
          <w:szCs w:val="20"/>
        </w:rPr>
        <w:t xml:space="preserve">Het gaat immers om diverse inkomsten die afzonderlijk belast zijn in de personenbelasting. </w:t>
      </w:r>
    </w:p>
    <w:p w14:paraId="1F118ADF" w14:textId="77777777" w:rsidR="002139D0" w:rsidRDefault="002139D0" w:rsidP="002139D0">
      <w:pPr>
        <w:ind w:left="284"/>
        <w:jc w:val="both"/>
        <w:rPr>
          <w:rFonts w:ascii="Verdana" w:hAnsi="Verdana"/>
          <w:sz w:val="20"/>
          <w:szCs w:val="20"/>
        </w:rPr>
      </w:pPr>
    </w:p>
    <w:p w14:paraId="129BC692" w14:textId="461365BE" w:rsidR="00F45F3D" w:rsidRPr="00002631" w:rsidRDefault="009251BF" w:rsidP="009251BF">
      <w:pPr>
        <w:ind w:left="426" w:hanging="426"/>
        <w:jc w:val="both"/>
        <w:rPr>
          <w:rFonts w:ascii="Verdana" w:hAnsi="Verdana"/>
          <w:sz w:val="20"/>
          <w:szCs w:val="20"/>
        </w:rPr>
      </w:pPr>
      <w:r>
        <w:rPr>
          <w:rFonts w:ascii="Verdana" w:hAnsi="Verdana"/>
          <w:sz w:val="20"/>
          <w:szCs w:val="20"/>
        </w:rPr>
        <w:t>8</w:t>
      </w:r>
      <w:r w:rsidR="00F303BE" w:rsidRPr="00002631">
        <w:rPr>
          <w:rFonts w:ascii="Verdana" w:hAnsi="Verdana"/>
          <w:sz w:val="20"/>
          <w:szCs w:val="20"/>
        </w:rPr>
        <w:t>-9.</w:t>
      </w:r>
      <w:r>
        <w:rPr>
          <w:rFonts w:ascii="Verdana" w:hAnsi="Verdana"/>
          <w:sz w:val="20"/>
          <w:szCs w:val="20"/>
        </w:rPr>
        <w:tab/>
      </w:r>
      <w:r w:rsidR="00F45F3D" w:rsidRPr="00002631">
        <w:rPr>
          <w:rFonts w:ascii="Verdana" w:hAnsi="Verdana"/>
          <w:sz w:val="20"/>
          <w:szCs w:val="20"/>
        </w:rPr>
        <w:t xml:space="preserve">De ontvangsten voor het verkooprecht voor 2022 zijn </w:t>
      </w:r>
      <w:r w:rsidR="00002631">
        <w:rPr>
          <w:rFonts w:ascii="Verdana" w:hAnsi="Verdana"/>
          <w:sz w:val="20"/>
          <w:szCs w:val="20"/>
        </w:rPr>
        <w:t>licht gedaald ten opzichte van</w:t>
      </w:r>
      <w:r w:rsidR="00F45F3D" w:rsidRPr="00002631">
        <w:rPr>
          <w:rFonts w:ascii="Verdana" w:hAnsi="Verdana"/>
          <w:sz w:val="20"/>
          <w:szCs w:val="20"/>
        </w:rPr>
        <w:t xml:space="preserve"> 2021. Door uitstel- of anticipatiegedrag om te kunnen genieten van de meest voordelige optie bij de wijziging van de tarieven vanaf 01/01/2022 moet 2022 echter worden beschouwd als een overgangsjaar.</w:t>
      </w:r>
      <w:r w:rsidR="00F45F3D">
        <w:rPr>
          <w:rStyle w:val="Voetnootmarkering"/>
          <w:rFonts w:ascii="Verdana" w:hAnsi="Verdana"/>
          <w:sz w:val="20"/>
          <w:szCs w:val="20"/>
        </w:rPr>
        <w:footnoteReference w:id="2"/>
      </w:r>
      <w:r w:rsidR="00F45F3D" w:rsidRPr="00002631">
        <w:rPr>
          <w:rFonts w:ascii="Verdana" w:hAnsi="Verdana"/>
          <w:sz w:val="20"/>
          <w:szCs w:val="20"/>
        </w:rPr>
        <w:t xml:space="preserve"> Het effect kan pas worden ingeschat vanaf </w:t>
      </w:r>
      <w:r w:rsidR="00F45F3D" w:rsidRPr="00002631">
        <w:rPr>
          <w:rFonts w:ascii="Verdana" w:hAnsi="Verdana"/>
          <w:sz w:val="20"/>
          <w:szCs w:val="20"/>
        </w:rPr>
        <w:lastRenderedPageBreak/>
        <w:t>aanslagjaar 2023. Bovendien ondervond de vastgoedmarkt in 2022 ook de gevolgen van de stijging van de rente, wat zich vooral laat voelen bij vastgoedinvesteringen.</w:t>
      </w:r>
    </w:p>
    <w:p w14:paraId="10324F58" w14:textId="77777777" w:rsidR="00F303BE" w:rsidRDefault="00F303BE" w:rsidP="00F303BE">
      <w:pPr>
        <w:ind w:left="284"/>
        <w:jc w:val="both"/>
        <w:rPr>
          <w:rFonts w:ascii="Verdana" w:hAnsi="Verdana"/>
          <w:sz w:val="20"/>
          <w:szCs w:val="20"/>
        </w:rPr>
      </w:pPr>
    </w:p>
    <w:p w14:paraId="33CAEC3C" w14:textId="3D4F399B" w:rsidR="00355503" w:rsidRDefault="00002631" w:rsidP="009251BF">
      <w:pPr>
        <w:numPr>
          <w:ilvl w:val="0"/>
          <w:numId w:val="14"/>
        </w:numPr>
        <w:ind w:left="426" w:hanging="426"/>
        <w:jc w:val="both"/>
        <w:rPr>
          <w:rFonts w:ascii="Verdana" w:hAnsi="Verdana"/>
          <w:sz w:val="20"/>
          <w:szCs w:val="20"/>
        </w:rPr>
      </w:pPr>
      <w:r w:rsidRPr="00002631">
        <w:rPr>
          <w:rFonts w:ascii="Verdana" w:hAnsi="Verdana"/>
          <w:sz w:val="20"/>
          <w:szCs w:val="20"/>
        </w:rPr>
        <w:t xml:space="preserve">De tabel hieronder biedt voor de aanslagjaren 2019 tot en met 2027 een overzicht van de fiscale uitgaven voor het ‘verwerven en behouden van de eigen woning’. </w:t>
      </w:r>
      <w:r w:rsidR="00355503">
        <w:rPr>
          <w:rFonts w:ascii="Verdana" w:hAnsi="Verdana"/>
          <w:sz w:val="20"/>
          <w:szCs w:val="20"/>
        </w:rPr>
        <w:t>Voor aanslagjaren 2019-2020 verwijs ik naar het antwoord op uw schriftelijke vraag nr. 186 van 31 januari 2022.</w:t>
      </w:r>
    </w:p>
    <w:p w14:paraId="4743917D" w14:textId="19E9CF77" w:rsidR="00002631" w:rsidRPr="00002631" w:rsidRDefault="00002631" w:rsidP="009251BF">
      <w:pPr>
        <w:ind w:left="426"/>
        <w:jc w:val="both"/>
        <w:rPr>
          <w:rFonts w:ascii="Verdana" w:hAnsi="Verdana"/>
          <w:sz w:val="20"/>
          <w:szCs w:val="20"/>
        </w:rPr>
      </w:pPr>
      <w:r w:rsidRPr="00002631">
        <w:rPr>
          <w:rFonts w:ascii="Verdana" w:hAnsi="Verdana"/>
          <w:sz w:val="20"/>
          <w:szCs w:val="20"/>
        </w:rPr>
        <w:t xml:space="preserve">De cijfers </w:t>
      </w:r>
      <w:r w:rsidR="002A253A">
        <w:rPr>
          <w:rFonts w:ascii="Verdana" w:hAnsi="Verdana"/>
          <w:sz w:val="20"/>
          <w:szCs w:val="20"/>
        </w:rPr>
        <w:t>voor</w:t>
      </w:r>
      <w:r w:rsidRPr="00002631">
        <w:rPr>
          <w:rFonts w:ascii="Verdana" w:hAnsi="Verdana"/>
          <w:sz w:val="20"/>
          <w:szCs w:val="20"/>
        </w:rPr>
        <w:t xml:space="preserve"> aanslagj</w:t>
      </w:r>
      <w:r w:rsidR="00355503">
        <w:rPr>
          <w:rFonts w:ascii="Verdana" w:hAnsi="Verdana"/>
          <w:sz w:val="20"/>
          <w:szCs w:val="20"/>
        </w:rPr>
        <w:t>a</w:t>
      </w:r>
      <w:r w:rsidRPr="00002631">
        <w:rPr>
          <w:rFonts w:ascii="Verdana" w:hAnsi="Verdana"/>
          <w:sz w:val="20"/>
          <w:szCs w:val="20"/>
        </w:rPr>
        <w:t xml:space="preserve">ar 2021 betreffen realisatiecijfers. De cijfers </w:t>
      </w:r>
      <w:r w:rsidR="002A253A">
        <w:rPr>
          <w:rFonts w:ascii="Verdana" w:hAnsi="Verdana"/>
          <w:sz w:val="20"/>
          <w:szCs w:val="20"/>
        </w:rPr>
        <w:t>voor</w:t>
      </w:r>
      <w:r w:rsidR="002A253A" w:rsidRPr="00002631">
        <w:rPr>
          <w:rFonts w:ascii="Verdana" w:hAnsi="Verdana"/>
          <w:sz w:val="20"/>
          <w:szCs w:val="20"/>
        </w:rPr>
        <w:t xml:space="preserve"> </w:t>
      </w:r>
      <w:r w:rsidRPr="00002631">
        <w:rPr>
          <w:rFonts w:ascii="Verdana" w:hAnsi="Verdana"/>
          <w:sz w:val="20"/>
          <w:szCs w:val="20"/>
        </w:rPr>
        <w:t xml:space="preserve">de overige aanslagjaren betreffen ramingen die door de FOD Financiën eind september 2022 in het kader van de begrotingsopmaak 2023 werden opgesteld. Die ramingen werden – na toepassing van het </w:t>
      </w:r>
      <w:proofErr w:type="spellStart"/>
      <w:r w:rsidRPr="00002631">
        <w:rPr>
          <w:rFonts w:ascii="Verdana" w:hAnsi="Verdana"/>
          <w:sz w:val="20"/>
          <w:szCs w:val="20"/>
        </w:rPr>
        <w:t>aanslagjaarspecifieke</w:t>
      </w:r>
      <w:proofErr w:type="spellEnd"/>
      <w:r w:rsidRPr="00002631">
        <w:rPr>
          <w:rFonts w:ascii="Verdana" w:hAnsi="Verdana"/>
          <w:sz w:val="20"/>
          <w:szCs w:val="20"/>
        </w:rPr>
        <w:t xml:space="preserve"> voorschottenpercentage - verwerkt in de meerjarige uitgavenbegroting van de Vlaamse Gemeenschap (Meerjarenraming 2022-2027, oktober 2022).</w:t>
      </w:r>
    </w:p>
    <w:p w14:paraId="06314134" w14:textId="77777777" w:rsidR="00002631" w:rsidRPr="00002631" w:rsidRDefault="00002631" w:rsidP="009251BF">
      <w:pPr>
        <w:ind w:left="502"/>
        <w:jc w:val="both"/>
        <w:rPr>
          <w:rFonts w:ascii="Verdana" w:hAnsi="Verdana"/>
          <w:sz w:val="20"/>
          <w:szCs w:val="20"/>
        </w:rPr>
      </w:pPr>
    </w:p>
    <w:p w14:paraId="2A9F24BC" w14:textId="77777777" w:rsidR="00002631" w:rsidRPr="00002631" w:rsidRDefault="00002631" w:rsidP="009251BF">
      <w:pPr>
        <w:ind w:left="426"/>
        <w:jc w:val="both"/>
        <w:rPr>
          <w:rFonts w:ascii="Verdana" w:hAnsi="Verdana"/>
          <w:sz w:val="20"/>
          <w:szCs w:val="20"/>
        </w:rPr>
      </w:pPr>
      <w:r w:rsidRPr="00002631">
        <w:rPr>
          <w:rFonts w:ascii="Verdana" w:hAnsi="Verdana"/>
          <w:sz w:val="20"/>
          <w:szCs w:val="20"/>
        </w:rPr>
        <w:t>Binnen deze categorie van fiscale uitgaven kent de Woonbonus 2005-2014 een dalend verloop omdat steeds meer belastingplichtigen het einde bereiken van de periode waarvoor de fiscale uitgave werd toegekend. Dat geldt (voorlopig) niet voor de Woonbonus 2015. De raming ervan blijft constant op 70,0 miljoen euro. Tot slot werd de Geïntegreerde Woonbonus eind 2019 door de Vlaamse Regering uitgedoofd waardoor er geen instroom van belastingplichtigen meer mogelijk is en de budgettaire impact (eveneens voorlopig) constant blijft op 377,4 miljoen euro.</w:t>
      </w:r>
    </w:p>
    <w:p w14:paraId="1DB5DF97" w14:textId="7E409080" w:rsidR="00002631" w:rsidRPr="00002631" w:rsidRDefault="00002631" w:rsidP="00002631">
      <w:pPr>
        <w:ind w:left="284"/>
        <w:jc w:val="both"/>
        <w:rPr>
          <w:rFonts w:ascii="Verdana" w:hAnsi="Verdana"/>
          <w:sz w:val="20"/>
          <w:szCs w:val="20"/>
        </w:rPr>
      </w:pPr>
    </w:p>
    <w:tbl>
      <w:tblPr>
        <w:tblW w:w="9029" w:type="dxa"/>
        <w:tblCellMar>
          <w:left w:w="70" w:type="dxa"/>
          <w:right w:w="70" w:type="dxa"/>
        </w:tblCellMar>
        <w:tblLook w:val="04A0" w:firstRow="1" w:lastRow="0" w:firstColumn="1" w:lastColumn="0" w:noHBand="0" w:noVBand="1"/>
      </w:tblPr>
      <w:tblGrid>
        <w:gridCol w:w="2972"/>
        <w:gridCol w:w="939"/>
        <w:gridCol w:w="939"/>
        <w:gridCol w:w="939"/>
        <w:gridCol w:w="939"/>
        <w:gridCol w:w="767"/>
        <w:gridCol w:w="767"/>
        <w:gridCol w:w="767"/>
      </w:tblGrid>
      <w:tr w:rsidR="00355503" w:rsidRPr="00355503" w14:paraId="1704642F" w14:textId="77777777" w:rsidTr="00355503">
        <w:trPr>
          <w:trHeight w:val="288"/>
          <w:tblHead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2E5B" w14:textId="77777777" w:rsidR="00355503" w:rsidRPr="00355503" w:rsidRDefault="00355503" w:rsidP="00C05A15">
            <w:pPr>
              <w:rPr>
                <w:rFonts w:ascii="Verdana" w:hAnsi="Verdana" w:cs="Calibri"/>
                <w:b/>
                <w:bCs/>
                <w:sz w:val="18"/>
                <w:szCs w:val="18"/>
                <w:lang w:val="nl-BE" w:eastAsia="nl-BE"/>
              </w:rPr>
            </w:pPr>
            <w:r w:rsidRPr="00355503">
              <w:rPr>
                <w:rFonts w:ascii="Verdana" w:hAnsi="Verdana" w:cs="Calibri"/>
                <w:b/>
                <w:bCs/>
                <w:sz w:val="18"/>
                <w:szCs w:val="18"/>
                <w:lang w:val="nl-BE" w:eastAsia="nl-BE"/>
              </w:rPr>
              <w:t>Inkomstenjaar</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4E5CE532"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2020</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5CD17EBD"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2021</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6BF7EEC0"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2022</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218F30A4"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2023</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14:paraId="0D49C4D8"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2024</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14:paraId="62114DF6"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2025</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14:paraId="4CE8B8BF"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2026</w:t>
            </w:r>
          </w:p>
        </w:tc>
      </w:tr>
      <w:tr w:rsidR="00355503" w:rsidRPr="00355503" w14:paraId="40A72C35" w14:textId="77777777" w:rsidTr="00355503">
        <w:trPr>
          <w:trHeight w:val="288"/>
          <w:tblHead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842F06" w14:textId="77777777" w:rsidR="00355503" w:rsidRPr="00355503" w:rsidRDefault="00355503" w:rsidP="00C05A15">
            <w:pPr>
              <w:rPr>
                <w:rFonts w:ascii="Verdana" w:hAnsi="Verdana" w:cs="Calibri"/>
                <w:b/>
                <w:bCs/>
                <w:sz w:val="18"/>
                <w:szCs w:val="18"/>
                <w:lang w:val="nl-BE" w:eastAsia="nl-BE"/>
              </w:rPr>
            </w:pPr>
            <w:r w:rsidRPr="00355503">
              <w:rPr>
                <w:rFonts w:ascii="Verdana" w:hAnsi="Verdana" w:cs="Calibri"/>
                <w:b/>
                <w:bCs/>
                <w:sz w:val="18"/>
                <w:szCs w:val="18"/>
                <w:lang w:val="nl-BE" w:eastAsia="nl-BE"/>
              </w:rPr>
              <w:t>Aanslagjaar</w:t>
            </w:r>
          </w:p>
        </w:tc>
        <w:tc>
          <w:tcPr>
            <w:tcW w:w="939" w:type="dxa"/>
            <w:tcBorders>
              <w:top w:val="nil"/>
              <w:left w:val="nil"/>
              <w:bottom w:val="single" w:sz="4" w:space="0" w:color="auto"/>
              <w:right w:val="single" w:sz="4" w:space="0" w:color="auto"/>
            </w:tcBorders>
            <w:shd w:val="clear" w:color="auto" w:fill="auto"/>
            <w:noWrap/>
            <w:vAlign w:val="center"/>
            <w:hideMark/>
          </w:tcPr>
          <w:p w14:paraId="68BDCD67"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2021</w:t>
            </w:r>
          </w:p>
        </w:tc>
        <w:tc>
          <w:tcPr>
            <w:tcW w:w="939" w:type="dxa"/>
            <w:tcBorders>
              <w:top w:val="nil"/>
              <w:left w:val="nil"/>
              <w:bottom w:val="single" w:sz="4" w:space="0" w:color="auto"/>
              <w:right w:val="single" w:sz="4" w:space="0" w:color="auto"/>
            </w:tcBorders>
            <w:shd w:val="clear" w:color="auto" w:fill="auto"/>
            <w:noWrap/>
            <w:vAlign w:val="center"/>
            <w:hideMark/>
          </w:tcPr>
          <w:p w14:paraId="547DDF07"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2022</w:t>
            </w:r>
          </w:p>
        </w:tc>
        <w:tc>
          <w:tcPr>
            <w:tcW w:w="939" w:type="dxa"/>
            <w:tcBorders>
              <w:top w:val="nil"/>
              <w:left w:val="nil"/>
              <w:bottom w:val="single" w:sz="4" w:space="0" w:color="auto"/>
              <w:right w:val="single" w:sz="4" w:space="0" w:color="auto"/>
            </w:tcBorders>
            <w:shd w:val="clear" w:color="auto" w:fill="auto"/>
            <w:noWrap/>
            <w:vAlign w:val="center"/>
            <w:hideMark/>
          </w:tcPr>
          <w:p w14:paraId="7BE1FDFC"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2023</w:t>
            </w:r>
          </w:p>
        </w:tc>
        <w:tc>
          <w:tcPr>
            <w:tcW w:w="939" w:type="dxa"/>
            <w:tcBorders>
              <w:top w:val="nil"/>
              <w:left w:val="nil"/>
              <w:bottom w:val="single" w:sz="4" w:space="0" w:color="auto"/>
              <w:right w:val="single" w:sz="4" w:space="0" w:color="auto"/>
            </w:tcBorders>
            <w:shd w:val="clear" w:color="auto" w:fill="auto"/>
            <w:noWrap/>
            <w:vAlign w:val="center"/>
            <w:hideMark/>
          </w:tcPr>
          <w:p w14:paraId="27D9A2B6"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2024</w:t>
            </w:r>
          </w:p>
        </w:tc>
        <w:tc>
          <w:tcPr>
            <w:tcW w:w="767" w:type="dxa"/>
            <w:tcBorders>
              <w:top w:val="nil"/>
              <w:left w:val="nil"/>
              <w:bottom w:val="single" w:sz="4" w:space="0" w:color="auto"/>
              <w:right w:val="single" w:sz="4" w:space="0" w:color="auto"/>
            </w:tcBorders>
            <w:shd w:val="clear" w:color="auto" w:fill="auto"/>
            <w:noWrap/>
            <w:vAlign w:val="center"/>
            <w:hideMark/>
          </w:tcPr>
          <w:p w14:paraId="6343E4D3"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2025</w:t>
            </w:r>
          </w:p>
        </w:tc>
        <w:tc>
          <w:tcPr>
            <w:tcW w:w="767" w:type="dxa"/>
            <w:tcBorders>
              <w:top w:val="nil"/>
              <w:left w:val="nil"/>
              <w:bottom w:val="single" w:sz="4" w:space="0" w:color="auto"/>
              <w:right w:val="single" w:sz="4" w:space="0" w:color="auto"/>
            </w:tcBorders>
            <w:shd w:val="clear" w:color="auto" w:fill="auto"/>
            <w:noWrap/>
            <w:vAlign w:val="center"/>
            <w:hideMark/>
          </w:tcPr>
          <w:p w14:paraId="3EAE6225"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2026</w:t>
            </w:r>
          </w:p>
        </w:tc>
        <w:tc>
          <w:tcPr>
            <w:tcW w:w="767" w:type="dxa"/>
            <w:tcBorders>
              <w:top w:val="nil"/>
              <w:left w:val="nil"/>
              <w:bottom w:val="single" w:sz="4" w:space="0" w:color="auto"/>
              <w:right w:val="single" w:sz="4" w:space="0" w:color="auto"/>
            </w:tcBorders>
            <w:shd w:val="clear" w:color="auto" w:fill="auto"/>
            <w:noWrap/>
            <w:vAlign w:val="center"/>
            <w:hideMark/>
          </w:tcPr>
          <w:p w14:paraId="42F80A12"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2027</w:t>
            </w:r>
          </w:p>
        </w:tc>
      </w:tr>
      <w:tr w:rsidR="00355503" w:rsidRPr="00355503" w14:paraId="2A49C2FF" w14:textId="77777777" w:rsidTr="0035550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857B4A9" w14:textId="77777777" w:rsidR="00355503" w:rsidRPr="00355503" w:rsidRDefault="00355503" w:rsidP="00C05A15">
            <w:pPr>
              <w:rPr>
                <w:rFonts w:ascii="Verdana" w:hAnsi="Verdana" w:cs="Calibri"/>
                <w:color w:val="000000"/>
                <w:sz w:val="18"/>
                <w:szCs w:val="18"/>
                <w:lang w:val="nl-BE" w:eastAsia="nl-BE"/>
              </w:rPr>
            </w:pPr>
            <w:r w:rsidRPr="00355503">
              <w:rPr>
                <w:rFonts w:ascii="Verdana" w:hAnsi="Verdana" w:cs="Calibri"/>
                <w:color w:val="000000"/>
                <w:sz w:val="18"/>
                <w:szCs w:val="18"/>
                <w:lang w:val="nl-BE" w:eastAsia="nl-BE"/>
              </w:rPr>
              <w:t>1.Bouwsparen</w:t>
            </w:r>
          </w:p>
        </w:tc>
        <w:tc>
          <w:tcPr>
            <w:tcW w:w="939" w:type="dxa"/>
            <w:tcBorders>
              <w:top w:val="nil"/>
              <w:left w:val="nil"/>
              <w:bottom w:val="single" w:sz="4" w:space="0" w:color="auto"/>
              <w:right w:val="single" w:sz="4" w:space="0" w:color="auto"/>
            </w:tcBorders>
            <w:shd w:val="clear" w:color="auto" w:fill="auto"/>
            <w:noWrap/>
            <w:vAlign w:val="center"/>
            <w:hideMark/>
          </w:tcPr>
          <w:p w14:paraId="00E1CD31"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126,7</w:t>
            </w:r>
          </w:p>
        </w:tc>
        <w:tc>
          <w:tcPr>
            <w:tcW w:w="939" w:type="dxa"/>
            <w:tcBorders>
              <w:top w:val="nil"/>
              <w:left w:val="nil"/>
              <w:bottom w:val="single" w:sz="4" w:space="0" w:color="auto"/>
              <w:right w:val="single" w:sz="4" w:space="0" w:color="auto"/>
            </w:tcBorders>
            <w:shd w:val="clear" w:color="auto" w:fill="auto"/>
            <w:noWrap/>
            <w:vAlign w:val="center"/>
            <w:hideMark/>
          </w:tcPr>
          <w:p w14:paraId="71898C84"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96,8</w:t>
            </w:r>
          </w:p>
        </w:tc>
        <w:tc>
          <w:tcPr>
            <w:tcW w:w="939" w:type="dxa"/>
            <w:tcBorders>
              <w:top w:val="nil"/>
              <w:left w:val="nil"/>
              <w:bottom w:val="single" w:sz="4" w:space="0" w:color="auto"/>
              <w:right w:val="single" w:sz="4" w:space="0" w:color="auto"/>
            </w:tcBorders>
            <w:shd w:val="clear" w:color="auto" w:fill="auto"/>
            <w:noWrap/>
            <w:vAlign w:val="center"/>
            <w:hideMark/>
          </w:tcPr>
          <w:p w14:paraId="44E09B3D"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66,9</w:t>
            </w:r>
          </w:p>
        </w:tc>
        <w:tc>
          <w:tcPr>
            <w:tcW w:w="939" w:type="dxa"/>
            <w:tcBorders>
              <w:top w:val="nil"/>
              <w:left w:val="nil"/>
              <w:bottom w:val="single" w:sz="4" w:space="0" w:color="auto"/>
              <w:right w:val="single" w:sz="4" w:space="0" w:color="auto"/>
            </w:tcBorders>
            <w:shd w:val="clear" w:color="auto" w:fill="auto"/>
            <w:noWrap/>
            <w:vAlign w:val="center"/>
            <w:hideMark/>
          </w:tcPr>
          <w:p w14:paraId="77B05F21"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37,0</w:t>
            </w:r>
          </w:p>
        </w:tc>
        <w:tc>
          <w:tcPr>
            <w:tcW w:w="767" w:type="dxa"/>
            <w:tcBorders>
              <w:top w:val="nil"/>
              <w:left w:val="nil"/>
              <w:bottom w:val="single" w:sz="4" w:space="0" w:color="auto"/>
              <w:right w:val="single" w:sz="4" w:space="0" w:color="auto"/>
            </w:tcBorders>
            <w:shd w:val="clear" w:color="auto" w:fill="auto"/>
            <w:noWrap/>
            <w:vAlign w:val="center"/>
            <w:hideMark/>
          </w:tcPr>
          <w:p w14:paraId="443E6B60"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7,0</w:t>
            </w:r>
          </w:p>
        </w:tc>
        <w:tc>
          <w:tcPr>
            <w:tcW w:w="767" w:type="dxa"/>
            <w:tcBorders>
              <w:top w:val="nil"/>
              <w:left w:val="nil"/>
              <w:bottom w:val="single" w:sz="4" w:space="0" w:color="auto"/>
              <w:right w:val="single" w:sz="4" w:space="0" w:color="auto"/>
            </w:tcBorders>
            <w:shd w:val="clear" w:color="auto" w:fill="auto"/>
            <w:noWrap/>
            <w:vAlign w:val="center"/>
            <w:hideMark/>
          </w:tcPr>
          <w:p w14:paraId="29AA1B6A"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0,0</w:t>
            </w:r>
          </w:p>
        </w:tc>
        <w:tc>
          <w:tcPr>
            <w:tcW w:w="767" w:type="dxa"/>
            <w:tcBorders>
              <w:top w:val="nil"/>
              <w:left w:val="nil"/>
              <w:bottom w:val="single" w:sz="4" w:space="0" w:color="auto"/>
              <w:right w:val="single" w:sz="4" w:space="0" w:color="auto"/>
            </w:tcBorders>
            <w:shd w:val="clear" w:color="auto" w:fill="auto"/>
            <w:noWrap/>
            <w:vAlign w:val="center"/>
            <w:hideMark/>
          </w:tcPr>
          <w:p w14:paraId="7DEA8DAB"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0,0</w:t>
            </w:r>
          </w:p>
        </w:tc>
      </w:tr>
      <w:tr w:rsidR="00355503" w:rsidRPr="00355503" w14:paraId="7AD5D2E2" w14:textId="77777777" w:rsidTr="0035550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ACA7D70" w14:textId="77777777" w:rsidR="00355503" w:rsidRPr="00355503" w:rsidRDefault="00355503" w:rsidP="00C05A15">
            <w:pPr>
              <w:rPr>
                <w:rFonts w:ascii="Verdana" w:hAnsi="Verdana" w:cs="Calibri"/>
                <w:color w:val="000000"/>
                <w:sz w:val="18"/>
                <w:szCs w:val="18"/>
                <w:lang w:val="nl-BE" w:eastAsia="nl-BE"/>
              </w:rPr>
            </w:pPr>
            <w:r w:rsidRPr="00355503">
              <w:rPr>
                <w:rFonts w:ascii="Verdana" w:hAnsi="Verdana" w:cs="Calibri"/>
                <w:color w:val="000000"/>
                <w:sz w:val="18"/>
                <w:szCs w:val="18"/>
                <w:lang w:val="nl-BE" w:eastAsia="nl-BE"/>
              </w:rPr>
              <w:t>2.Intresten</w:t>
            </w:r>
          </w:p>
        </w:tc>
        <w:tc>
          <w:tcPr>
            <w:tcW w:w="939" w:type="dxa"/>
            <w:tcBorders>
              <w:top w:val="nil"/>
              <w:left w:val="nil"/>
              <w:bottom w:val="single" w:sz="4" w:space="0" w:color="auto"/>
              <w:right w:val="single" w:sz="4" w:space="0" w:color="auto"/>
            </w:tcBorders>
            <w:shd w:val="clear" w:color="auto" w:fill="auto"/>
            <w:noWrap/>
            <w:vAlign w:val="center"/>
            <w:hideMark/>
          </w:tcPr>
          <w:p w14:paraId="4500BCC7"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29,2</w:t>
            </w:r>
          </w:p>
        </w:tc>
        <w:tc>
          <w:tcPr>
            <w:tcW w:w="939" w:type="dxa"/>
            <w:tcBorders>
              <w:top w:val="nil"/>
              <w:left w:val="nil"/>
              <w:bottom w:val="single" w:sz="4" w:space="0" w:color="auto"/>
              <w:right w:val="single" w:sz="4" w:space="0" w:color="auto"/>
            </w:tcBorders>
            <w:shd w:val="clear" w:color="auto" w:fill="auto"/>
            <w:noWrap/>
            <w:vAlign w:val="center"/>
            <w:hideMark/>
          </w:tcPr>
          <w:p w14:paraId="4856F00A"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22,8</w:t>
            </w:r>
          </w:p>
        </w:tc>
        <w:tc>
          <w:tcPr>
            <w:tcW w:w="939" w:type="dxa"/>
            <w:tcBorders>
              <w:top w:val="nil"/>
              <w:left w:val="nil"/>
              <w:bottom w:val="single" w:sz="4" w:space="0" w:color="auto"/>
              <w:right w:val="single" w:sz="4" w:space="0" w:color="auto"/>
            </w:tcBorders>
            <w:shd w:val="clear" w:color="auto" w:fill="auto"/>
            <w:noWrap/>
            <w:vAlign w:val="center"/>
            <w:hideMark/>
          </w:tcPr>
          <w:p w14:paraId="4A438FFE"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16,5</w:t>
            </w:r>
          </w:p>
        </w:tc>
        <w:tc>
          <w:tcPr>
            <w:tcW w:w="939" w:type="dxa"/>
            <w:tcBorders>
              <w:top w:val="nil"/>
              <w:left w:val="nil"/>
              <w:bottom w:val="single" w:sz="4" w:space="0" w:color="auto"/>
              <w:right w:val="single" w:sz="4" w:space="0" w:color="auto"/>
            </w:tcBorders>
            <w:shd w:val="clear" w:color="auto" w:fill="auto"/>
            <w:noWrap/>
            <w:vAlign w:val="center"/>
            <w:hideMark/>
          </w:tcPr>
          <w:p w14:paraId="1CF7CD61"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10,1</w:t>
            </w:r>
          </w:p>
        </w:tc>
        <w:tc>
          <w:tcPr>
            <w:tcW w:w="767" w:type="dxa"/>
            <w:tcBorders>
              <w:top w:val="nil"/>
              <w:left w:val="nil"/>
              <w:bottom w:val="single" w:sz="4" w:space="0" w:color="auto"/>
              <w:right w:val="single" w:sz="4" w:space="0" w:color="auto"/>
            </w:tcBorders>
            <w:shd w:val="clear" w:color="auto" w:fill="auto"/>
            <w:noWrap/>
            <w:vAlign w:val="center"/>
            <w:hideMark/>
          </w:tcPr>
          <w:p w14:paraId="698ECE5D"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3,8</w:t>
            </w:r>
          </w:p>
        </w:tc>
        <w:tc>
          <w:tcPr>
            <w:tcW w:w="767" w:type="dxa"/>
            <w:tcBorders>
              <w:top w:val="nil"/>
              <w:left w:val="nil"/>
              <w:bottom w:val="single" w:sz="4" w:space="0" w:color="auto"/>
              <w:right w:val="single" w:sz="4" w:space="0" w:color="auto"/>
            </w:tcBorders>
            <w:shd w:val="clear" w:color="auto" w:fill="auto"/>
            <w:noWrap/>
            <w:vAlign w:val="center"/>
            <w:hideMark/>
          </w:tcPr>
          <w:p w14:paraId="268FB49B"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0,0</w:t>
            </w:r>
          </w:p>
        </w:tc>
        <w:tc>
          <w:tcPr>
            <w:tcW w:w="767" w:type="dxa"/>
            <w:tcBorders>
              <w:top w:val="nil"/>
              <w:left w:val="nil"/>
              <w:bottom w:val="single" w:sz="4" w:space="0" w:color="auto"/>
              <w:right w:val="single" w:sz="4" w:space="0" w:color="auto"/>
            </w:tcBorders>
            <w:shd w:val="clear" w:color="auto" w:fill="auto"/>
            <w:noWrap/>
            <w:vAlign w:val="center"/>
            <w:hideMark/>
          </w:tcPr>
          <w:p w14:paraId="72106A95"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0,0</w:t>
            </w:r>
          </w:p>
        </w:tc>
      </w:tr>
      <w:tr w:rsidR="00355503" w:rsidRPr="00355503" w14:paraId="5A9BBB78" w14:textId="77777777" w:rsidTr="0035550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8081292" w14:textId="77777777" w:rsidR="00355503" w:rsidRPr="00355503" w:rsidRDefault="00355503" w:rsidP="00C05A15">
            <w:pPr>
              <w:rPr>
                <w:rFonts w:ascii="Verdana" w:hAnsi="Verdana" w:cs="Calibri"/>
                <w:color w:val="000000"/>
                <w:sz w:val="18"/>
                <w:szCs w:val="18"/>
                <w:lang w:val="nl-BE" w:eastAsia="nl-BE"/>
              </w:rPr>
            </w:pPr>
            <w:r w:rsidRPr="00355503">
              <w:rPr>
                <w:rFonts w:ascii="Verdana" w:hAnsi="Verdana" w:cs="Calibri"/>
                <w:color w:val="000000"/>
                <w:sz w:val="18"/>
                <w:szCs w:val="18"/>
                <w:lang w:val="nl-BE" w:eastAsia="nl-BE"/>
              </w:rPr>
              <w:t>3.Woonbonus 2005-2014</w:t>
            </w:r>
          </w:p>
        </w:tc>
        <w:tc>
          <w:tcPr>
            <w:tcW w:w="939" w:type="dxa"/>
            <w:tcBorders>
              <w:top w:val="nil"/>
              <w:left w:val="nil"/>
              <w:bottom w:val="single" w:sz="4" w:space="0" w:color="auto"/>
              <w:right w:val="single" w:sz="4" w:space="0" w:color="auto"/>
            </w:tcBorders>
            <w:shd w:val="clear" w:color="auto" w:fill="auto"/>
            <w:noWrap/>
            <w:vAlign w:val="center"/>
            <w:hideMark/>
          </w:tcPr>
          <w:p w14:paraId="1FF36416"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779,7</w:t>
            </w:r>
          </w:p>
        </w:tc>
        <w:tc>
          <w:tcPr>
            <w:tcW w:w="939" w:type="dxa"/>
            <w:tcBorders>
              <w:top w:val="nil"/>
              <w:left w:val="nil"/>
              <w:bottom w:val="single" w:sz="4" w:space="0" w:color="auto"/>
              <w:right w:val="single" w:sz="4" w:space="0" w:color="auto"/>
            </w:tcBorders>
            <w:shd w:val="clear" w:color="auto" w:fill="auto"/>
            <w:noWrap/>
            <w:vAlign w:val="center"/>
            <w:hideMark/>
          </w:tcPr>
          <w:p w14:paraId="57535976"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702,9</w:t>
            </w:r>
          </w:p>
        </w:tc>
        <w:tc>
          <w:tcPr>
            <w:tcW w:w="939" w:type="dxa"/>
            <w:tcBorders>
              <w:top w:val="nil"/>
              <w:left w:val="nil"/>
              <w:bottom w:val="single" w:sz="4" w:space="0" w:color="auto"/>
              <w:right w:val="single" w:sz="4" w:space="0" w:color="auto"/>
            </w:tcBorders>
            <w:shd w:val="clear" w:color="auto" w:fill="auto"/>
            <w:noWrap/>
            <w:vAlign w:val="center"/>
            <w:hideMark/>
          </w:tcPr>
          <w:p w14:paraId="339BE9EC"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626,0</w:t>
            </w:r>
          </w:p>
        </w:tc>
        <w:tc>
          <w:tcPr>
            <w:tcW w:w="939" w:type="dxa"/>
            <w:tcBorders>
              <w:top w:val="nil"/>
              <w:left w:val="nil"/>
              <w:bottom w:val="single" w:sz="4" w:space="0" w:color="auto"/>
              <w:right w:val="single" w:sz="4" w:space="0" w:color="auto"/>
            </w:tcBorders>
            <w:shd w:val="clear" w:color="auto" w:fill="auto"/>
            <w:noWrap/>
            <w:vAlign w:val="center"/>
            <w:hideMark/>
          </w:tcPr>
          <w:p w14:paraId="7F69C558"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549,2</w:t>
            </w:r>
          </w:p>
        </w:tc>
        <w:tc>
          <w:tcPr>
            <w:tcW w:w="767" w:type="dxa"/>
            <w:tcBorders>
              <w:top w:val="nil"/>
              <w:left w:val="nil"/>
              <w:bottom w:val="single" w:sz="4" w:space="0" w:color="auto"/>
              <w:right w:val="single" w:sz="4" w:space="0" w:color="auto"/>
            </w:tcBorders>
            <w:shd w:val="clear" w:color="auto" w:fill="auto"/>
            <w:noWrap/>
            <w:vAlign w:val="center"/>
            <w:hideMark/>
          </w:tcPr>
          <w:p w14:paraId="17C4AD2B"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472,3</w:t>
            </w:r>
          </w:p>
        </w:tc>
        <w:tc>
          <w:tcPr>
            <w:tcW w:w="767" w:type="dxa"/>
            <w:tcBorders>
              <w:top w:val="nil"/>
              <w:left w:val="nil"/>
              <w:bottom w:val="single" w:sz="4" w:space="0" w:color="auto"/>
              <w:right w:val="single" w:sz="4" w:space="0" w:color="auto"/>
            </w:tcBorders>
            <w:shd w:val="clear" w:color="auto" w:fill="auto"/>
            <w:noWrap/>
            <w:vAlign w:val="center"/>
            <w:hideMark/>
          </w:tcPr>
          <w:p w14:paraId="6F34092F"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395,5</w:t>
            </w:r>
          </w:p>
        </w:tc>
        <w:tc>
          <w:tcPr>
            <w:tcW w:w="767" w:type="dxa"/>
            <w:tcBorders>
              <w:top w:val="nil"/>
              <w:left w:val="nil"/>
              <w:bottom w:val="single" w:sz="4" w:space="0" w:color="auto"/>
              <w:right w:val="single" w:sz="4" w:space="0" w:color="auto"/>
            </w:tcBorders>
            <w:shd w:val="clear" w:color="auto" w:fill="auto"/>
            <w:noWrap/>
            <w:vAlign w:val="center"/>
            <w:hideMark/>
          </w:tcPr>
          <w:p w14:paraId="3A51439D"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318,7</w:t>
            </w:r>
          </w:p>
        </w:tc>
      </w:tr>
      <w:tr w:rsidR="00355503" w:rsidRPr="00355503" w14:paraId="6986E5FA" w14:textId="77777777" w:rsidTr="0035550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373D7D7" w14:textId="77777777" w:rsidR="00355503" w:rsidRPr="00355503" w:rsidRDefault="00355503" w:rsidP="00C05A15">
            <w:pPr>
              <w:rPr>
                <w:rFonts w:ascii="Verdana" w:hAnsi="Verdana" w:cs="Calibri"/>
                <w:color w:val="000000"/>
                <w:sz w:val="18"/>
                <w:szCs w:val="18"/>
                <w:lang w:val="nl-BE" w:eastAsia="nl-BE"/>
              </w:rPr>
            </w:pPr>
            <w:r w:rsidRPr="00355503">
              <w:rPr>
                <w:rFonts w:ascii="Verdana" w:hAnsi="Verdana" w:cs="Calibri"/>
                <w:color w:val="000000"/>
                <w:sz w:val="18"/>
                <w:szCs w:val="18"/>
                <w:lang w:val="nl-BE" w:eastAsia="nl-BE"/>
              </w:rPr>
              <w:t>4.Langetermijnsparen</w:t>
            </w:r>
          </w:p>
        </w:tc>
        <w:tc>
          <w:tcPr>
            <w:tcW w:w="939" w:type="dxa"/>
            <w:tcBorders>
              <w:top w:val="nil"/>
              <w:left w:val="nil"/>
              <w:bottom w:val="single" w:sz="4" w:space="0" w:color="auto"/>
              <w:right w:val="single" w:sz="4" w:space="0" w:color="auto"/>
            </w:tcBorders>
            <w:shd w:val="clear" w:color="auto" w:fill="auto"/>
            <w:noWrap/>
            <w:vAlign w:val="center"/>
            <w:hideMark/>
          </w:tcPr>
          <w:p w14:paraId="6A98EE48"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38,8</w:t>
            </w:r>
          </w:p>
        </w:tc>
        <w:tc>
          <w:tcPr>
            <w:tcW w:w="939" w:type="dxa"/>
            <w:tcBorders>
              <w:top w:val="nil"/>
              <w:left w:val="nil"/>
              <w:bottom w:val="single" w:sz="4" w:space="0" w:color="auto"/>
              <w:right w:val="single" w:sz="4" w:space="0" w:color="auto"/>
            </w:tcBorders>
            <w:shd w:val="clear" w:color="auto" w:fill="auto"/>
            <w:noWrap/>
            <w:vAlign w:val="center"/>
            <w:hideMark/>
          </w:tcPr>
          <w:p w14:paraId="07FA3AF8"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34,2</w:t>
            </w:r>
          </w:p>
        </w:tc>
        <w:tc>
          <w:tcPr>
            <w:tcW w:w="939" w:type="dxa"/>
            <w:tcBorders>
              <w:top w:val="nil"/>
              <w:left w:val="nil"/>
              <w:bottom w:val="single" w:sz="4" w:space="0" w:color="auto"/>
              <w:right w:val="single" w:sz="4" w:space="0" w:color="auto"/>
            </w:tcBorders>
            <w:shd w:val="clear" w:color="auto" w:fill="auto"/>
            <w:noWrap/>
            <w:vAlign w:val="center"/>
            <w:hideMark/>
          </w:tcPr>
          <w:p w14:paraId="25B4E468"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29,6</w:t>
            </w:r>
          </w:p>
        </w:tc>
        <w:tc>
          <w:tcPr>
            <w:tcW w:w="939" w:type="dxa"/>
            <w:tcBorders>
              <w:top w:val="nil"/>
              <w:left w:val="nil"/>
              <w:bottom w:val="single" w:sz="4" w:space="0" w:color="auto"/>
              <w:right w:val="single" w:sz="4" w:space="0" w:color="auto"/>
            </w:tcBorders>
            <w:shd w:val="clear" w:color="auto" w:fill="auto"/>
            <w:noWrap/>
            <w:vAlign w:val="center"/>
            <w:hideMark/>
          </w:tcPr>
          <w:p w14:paraId="27AB38FB"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25,0</w:t>
            </w:r>
          </w:p>
        </w:tc>
        <w:tc>
          <w:tcPr>
            <w:tcW w:w="767" w:type="dxa"/>
            <w:tcBorders>
              <w:top w:val="nil"/>
              <w:left w:val="nil"/>
              <w:bottom w:val="single" w:sz="4" w:space="0" w:color="auto"/>
              <w:right w:val="single" w:sz="4" w:space="0" w:color="auto"/>
            </w:tcBorders>
            <w:shd w:val="clear" w:color="auto" w:fill="auto"/>
            <w:noWrap/>
            <w:vAlign w:val="center"/>
            <w:hideMark/>
          </w:tcPr>
          <w:p w14:paraId="6EB5CECC"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20,4</w:t>
            </w:r>
          </w:p>
        </w:tc>
        <w:tc>
          <w:tcPr>
            <w:tcW w:w="767" w:type="dxa"/>
            <w:tcBorders>
              <w:top w:val="nil"/>
              <w:left w:val="nil"/>
              <w:bottom w:val="single" w:sz="4" w:space="0" w:color="auto"/>
              <w:right w:val="single" w:sz="4" w:space="0" w:color="auto"/>
            </w:tcBorders>
            <w:shd w:val="clear" w:color="auto" w:fill="auto"/>
            <w:noWrap/>
            <w:vAlign w:val="center"/>
            <w:hideMark/>
          </w:tcPr>
          <w:p w14:paraId="4FCB4B3D"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15,8</w:t>
            </w:r>
          </w:p>
        </w:tc>
        <w:tc>
          <w:tcPr>
            <w:tcW w:w="767" w:type="dxa"/>
            <w:tcBorders>
              <w:top w:val="nil"/>
              <w:left w:val="nil"/>
              <w:bottom w:val="single" w:sz="4" w:space="0" w:color="auto"/>
              <w:right w:val="single" w:sz="4" w:space="0" w:color="auto"/>
            </w:tcBorders>
            <w:shd w:val="clear" w:color="auto" w:fill="auto"/>
            <w:noWrap/>
            <w:vAlign w:val="center"/>
            <w:hideMark/>
          </w:tcPr>
          <w:p w14:paraId="451248FD"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11,2</w:t>
            </w:r>
          </w:p>
        </w:tc>
      </w:tr>
      <w:tr w:rsidR="00355503" w:rsidRPr="00355503" w14:paraId="519970AC" w14:textId="77777777" w:rsidTr="0035550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731A060" w14:textId="77777777" w:rsidR="00355503" w:rsidRPr="00355503" w:rsidRDefault="00355503" w:rsidP="00C05A15">
            <w:pPr>
              <w:rPr>
                <w:rFonts w:ascii="Verdana" w:hAnsi="Verdana" w:cs="Calibri"/>
                <w:color w:val="000000"/>
                <w:sz w:val="18"/>
                <w:szCs w:val="18"/>
                <w:lang w:val="nl-BE" w:eastAsia="nl-BE"/>
              </w:rPr>
            </w:pPr>
            <w:r w:rsidRPr="00355503">
              <w:rPr>
                <w:rFonts w:ascii="Verdana" w:hAnsi="Verdana" w:cs="Calibri"/>
                <w:color w:val="000000"/>
                <w:sz w:val="18"/>
                <w:szCs w:val="18"/>
                <w:lang w:val="nl-BE" w:eastAsia="nl-BE"/>
              </w:rPr>
              <w:t>5.Woonbonus 2015</w:t>
            </w:r>
          </w:p>
        </w:tc>
        <w:tc>
          <w:tcPr>
            <w:tcW w:w="939" w:type="dxa"/>
            <w:tcBorders>
              <w:top w:val="nil"/>
              <w:left w:val="nil"/>
              <w:bottom w:val="single" w:sz="4" w:space="0" w:color="auto"/>
              <w:right w:val="single" w:sz="4" w:space="0" w:color="auto"/>
            </w:tcBorders>
            <w:shd w:val="clear" w:color="auto" w:fill="auto"/>
            <w:noWrap/>
            <w:vAlign w:val="center"/>
            <w:hideMark/>
          </w:tcPr>
          <w:p w14:paraId="69F43F08"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70,0</w:t>
            </w:r>
          </w:p>
        </w:tc>
        <w:tc>
          <w:tcPr>
            <w:tcW w:w="939" w:type="dxa"/>
            <w:tcBorders>
              <w:top w:val="nil"/>
              <w:left w:val="nil"/>
              <w:bottom w:val="single" w:sz="4" w:space="0" w:color="auto"/>
              <w:right w:val="single" w:sz="4" w:space="0" w:color="auto"/>
            </w:tcBorders>
            <w:shd w:val="clear" w:color="auto" w:fill="auto"/>
            <w:noWrap/>
            <w:vAlign w:val="center"/>
            <w:hideMark/>
          </w:tcPr>
          <w:p w14:paraId="5A2315F5"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70,0</w:t>
            </w:r>
          </w:p>
        </w:tc>
        <w:tc>
          <w:tcPr>
            <w:tcW w:w="939" w:type="dxa"/>
            <w:tcBorders>
              <w:top w:val="nil"/>
              <w:left w:val="nil"/>
              <w:bottom w:val="single" w:sz="4" w:space="0" w:color="auto"/>
              <w:right w:val="single" w:sz="4" w:space="0" w:color="auto"/>
            </w:tcBorders>
            <w:shd w:val="clear" w:color="auto" w:fill="auto"/>
            <w:noWrap/>
            <w:vAlign w:val="center"/>
            <w:hideMark/>
          </w:tcPr>
          <w:p w14:paraId="0F0E421B"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70,0</w:t>
            </w:r>
          </w:p>
        </w:tc>
        <w:tc>
          <w:tcPr>
            <w:tcW w:w="939" w:type="dxa"/>
            <w:tcBorders>
              <w:top w:val="nil"/>
              <w:left w:val="nil"/>
              <w:bottom w:val="single" w:sz="4" w:space="0" w:color="auto"/>
              <w:right w:val="single" w:sz="4" w:space="0" w:color="auto"/>
            </w:tcBorders>
            <w:shd w:val="clear" w:color="auto" w:fill="auto"/>
            <w:noWrap/>
            <w:vAlign w:val="center"/>
            <w:hideMark/>
          </w:tcPr>
          <w:p w14:paraId="310AC114"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70,0</w:t>
            </w:r>
          </w:p>
        </w:tc>
        <w:tc>
          <w:tcPr>
            <w:tcW w:w="767" w:type="dxa"/>
            <w:tcBorders>
              <w:top w:val="nil"/>
              <w:left w:val="nil"/>
              <w:bottom w:val="single" w:sz="4" w:space="0" w:color="auto"/>
              <w:right w:val="single" w:sz="4" w:space="0" w:color="auto"/>
            </w:tcBorders>
            <w:shd w:val="clear" w:color="auto" w:fill="auto"/>
            <w:noWrap/>
            <w:vAlign w:val="center"/>
            <w:hideMark/>
          </w:tcPr>
          <w:p w14:paraId="049DE9BF"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70,0</w:t>
            </w:r>
          </w:p>
        </w:tc>
        <w:tc>
          <w:tcPr>
            <w:tcW w:w="767" w:type="dxa"/>
            <w:tcBorders>
              <w:top w:val="nil"/>
              <w:left w:val="nil"/>
              <w:bottom w:val="single" w:sz="4" w:space="0" w:color="auto"/>
              <w:right w:val="single" w:sz="4" w:space="0" w:color="auto"/>
            </w:tcBorders>
            <w:shd w:val="clear" w:color="auto" w:fill="auto"/>
            <w:noWrap/>
            <w:vAlign w:val="center"/>
            <w:hideMark/>
          </w:tcPr>
          <w:p w14:paraId="391CF0D2"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70,0</w:t>
            </w:r>
          </w:p>
        </w:tc>
        <w:tc>
          <w:tcPr>
            <w:tcW w:w="767" w:type="dxa"/>
            <w:tcBorders>
              <w:top w:val="nil"/>
              <w:left w:val="nil"/>
              <w:bottom w:val="single" w:sz="4" w:space="0" w:color="auto"/>
              <w:right w:val="single" w:sz="4" w:space="0" w:color="auto"/>
            </w:tcBorders>
            <w:shd w:val="clear" w:color="auto" w:fill="auto"/>
            <w:noWrap/>
            <w:vAlign w:val="center"/>
            <w:hideMark/>
          </w:tcPr>
          <w:p w14:paraId="264F771E"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70,0</w:t>
            </w:r>
          </w:p>
        </w:tc>
      </w:tr>
      <w:tr w:rsidR="00355503" w:rsidRPr="00355503" w14:paraId="74CD3B5E" w14:textId="77777777" w:rsidTr="0035550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68447DC" w14:textId="77777777" w:rsidR="00355503" w:rsidRPr="00355503" w:rsidRDefault="00355503" w:rsidP="00C05A15">
            <w:pPr>
              <w:rPr>
                <w:rFonts w:ascii="Verdana" w:hAnsi="Verdana" w:cs="Calibri"/>
                <w:color w:val="000000"/>
                <w:sz w:val="18"/>
                <w:szCs w:val="18"/>
                <w:lang w:val="nl-BE" w:eastAsia="nl-BE"/>
              </w:rPr>
            </w:pPr>
            <w:r w:rsidRPr="00355503">
              <w:rPr>
                <w:rFonts w:ascii="Verdana" w:hAnsi="Verdana" w:cs="Calibri"/>
                <w:color w:val="000000"/>
                <w:sz w:val="18"/>
                <w:szCs w:val="18"/>
                <w:lang w:val="nl-BE" w:eastAsia="nl-BE"/>
              </w:rPr>
              <w:t>6.Geïntegreerde woonbonus</w:t>
            </w:r>
          </w:p>
        </w:tc>
        <w:tc>
          <w:tcPr>
            <w:tcW w:w="939" w:type="dxa"/>
            <w:tcBorders>
              <w:top w:val="nil"/>
              <w:left w:val="nil"/>
              <w:bottom w:val="single" w:sz="4" w:space="0" w:color="auto"/>
              <w:right w:val="single" w:sz="4" w:space="0" w:color="auto"/>
            </w:tcBorders>
            <w:shd w:val="clear" w:color="auto" w:fill="auto"/>
            <w:noWrap/>
            <w:vAlign w:val="center"/>
            <w:hideMark/>
          </w:tcPr>
          <w:p w14:paraId="793D3E4E"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377,4</w:t>
            </w:r>
          </w:p>
        </w:tc>
        <w:tc>
          <w:tcPr>
            <w:tcW w:w="939" w:type="dxa"/>
            <w:tcBorders>
              <w:top w:val="nil"/>
              <w:left w:val="nil"/>
              <w:bottom w:val="single" w:sz="4" w:space="0" w:color="auto"/>
              <w:right w:val="single" w:sz="4" w:space="0" w:color="auto"/>
            </w:tcBorders>
            <w:shd w:val="clear" w:color="auto" w:fill="auto"/>
            <w:noWrap/>
            <w:vAlign w:val="center"/>
            <w:hideMark/>
          </w:tcPr>
          <w:p w14:paraId="3D8C36C4"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377,4</w:t>
            </w:r>
          </w:p>
        </w:tc>
        <w:tc>
          <w:tcPr>
            <w:tcW w:w="939" w:type="dxa"/>
            <w:tcBorders>
              <w:top w:val="nil"/>
              <w:left w:val="nil"/>
              <w:bottom w:val="single" w:sz="4" w:space="0" w:color="auto"/>
              <w:right w:val="single" w:sz="4" w:space="0" w:color="auto"/>
            </w:tcBorders>
            <w:shd w:val="clear" w:color="auto" w:fill="auto"/>
            <w:noWrap/>
            <w:vAlign w:val="center"/>
            <w:hideMark/>
          </w:tcPr>
          <w:p w14:paraId="471DD47F"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377,4</w:t>
            </w:r>
          </w:p>
        </w:tc>
        <w:tc>
          <w:tcPr>
            <w:tcW w:w="939" w:type="dxa"/>
            <w:tcBorders>
              <w:top w:val="nil"/>
              <w:left w:val="nil"/>
              <w:bottom w:val="single" w:sz="4" w:space="0" w:color="auto"/>
              <w:right w:val="single" w:sz="4" w:space="0" w:color="auto"/>
            </w:tcBorders>
            <w:shd w:val="clear" w:color="auto" w:fill="auto"/>
            <w:noWrap/>
            <w:vAlign w:val="center"/>
            <w:hideMark/>
          </w:tcPr>
          <w:p w14:paraId="5E6DD710"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377,4</w:t>
            </w:r>
          </w:p>
        </w:tc>
        <w:tc>
          <w:tcPr>
            <w:tcW w:w="767" w:type="dxa"/>
            <w:tcBorders>
              <w:top w:val="nil"/>
              <w:left w:val="nil"/>
              <w:bottom w:val="single" w:sz="4" w:space="0" w:color="auto"/>
              <w:right w:val="single" w:sz="4" w:space="0" w:color="auto"/>
            </w:tcBorders>
            <w:shd w:val="clear" w:color="auto" w:fill="auto"/>
            <w:noWrap/>
            <w:vAlign w:val="center"/>
            <w:hideMark/>
          </w:tcPr>
          <w:p w14:paraId="36E0733B"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377,4</w:t>
            </w:r>
          </w:p>
        </w:tc>
        <w:tc>
          <w:tcPr>
            <w:tcW w:w="767" w:type="dxa"/>
            <w:tcBorders>
              <w:top w:val="nil"/>
              <w:left w:val="nil"/>
              <w:bottom w:val="single" w:sz="4" w:space="0" w:color="auto"/>
              <w:right w:val="single" w:sz="4" w:space="0" w:color="auto"/>
            </w:tcBorders>
            <w:shd w:val="clear" w:color="auto" w:fill="auto"/>
            <w:noWrap/>
            <w:vAlign w:val="center"/>
            <w:hideMark/>
          </w:tcPr>
          <w:p w14:paraId="5BB15FEB"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377,4</w:t>
            </w:r>
          </w:p>
        </w:tc>
        <w:tc>
          <w:tcPr>
            <w:tcW w:w="767" w:type="dxa"/>
            <w:tcBorders>
              <w:top w:val="nil"/>
              <w:left w:val="nil"/>
              <w:bottom w:val="single" w:sz="4" w:space="0" w:color="auto"/>
              <w:right w:val="single" w:sz="4" w:space="0" w:color="auto"/>
            </w:tcBorders>
            <w:shd w:val="clear" w:color="auto" w:fill="auto"/>
            <w:noWrap/>
            <w:vAlign w:val="center"/>
            <w:hideMark/>
          </w:tcPr>
          <w:p w14:paraId="3EB9B122" w14:textId="77777777" w:rsidR="00355503" w:rsidRPr="00355503" w:rsidRDefault="00355503" w:rsidP="00C05A15">
            <w:pPr>
              <w:jc w:val="right"/>
              <w:rPr>
                <w:rFonts w:ascii="Verdana" w:hAnsi="Verdana" w:cs="Calibri"/>
                <w:sz w:val="18"/>
                <w:szCs w:val="18"/>
                <w:lang w:val="nl-BE" w:eastAsia="nl-BE"/>
              </w:rPr>
            </w:pPr>
            <w:r w:rsidRPr="00355503">
              <w:rPr>
                <w:rFonts w:ascii="Verdana" w:hAnsi="Verdana" w:cs="Calibri"/>
                <w:sz w:val="18"/>
                <w:szCs w:val="18"/>
                <w:lang w:val="nl-BE" w:eastAsia="nl-BE"/>
              </w:rPr>
              <w:t>377,4</w:t>
            </w:r>
          </w:p>
        </w:tc>
      </w:tr>
      <w:tr w:rsidR="00355503" w:rsidRPr="00355503" w14:paraId="005F6FFA" w14:textId="77777777" w:rsidTr="0035550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6B7313" w14:textId="77777777" w:rsidR="00355503" w:rsidRPr="00355503" w:rsidRDefault="00355503" w:rsidP="00C05A15">
            <w:pPr>
              <w:rPr>
                <w:rFonts w:ascii="Verdana" w:hAnsi="Verdana" w:cs="Calibri"/>
                <w:b/>
                <w:bCs/>
                <w:color w:val="000000"/>
                <w:sz w:val="18"/>
                <w:szCs w:val="18"/>
                <w:lang w:val="nl-BE" w:eastAsia="nl-BE"/>
              </w:rPr>
            </w:pPr>
            <w:r w:rsidRPr="00355503">
              <w:rPr>
                <w:rFonts w:ascii="Verdana" w:hAnsi="Verdana" w:cs="Calibri"/>
                <w:b/>
                <w:bCs/>
                <w:color w:val="000000"/>
                <w:sz w:val="18"/>
                <w:szCs w:val="18"/>
                <w:lang w:val="nl-BE" w:eastAsia="nl-BE"/>
              </w:rPr>
              <w:t>Totaal</w:t>
            </w:r>
          </w:p>
        </w:tc>
        <w:tc>
          <w:tcPr>
            <w:tcW w:w="939" w:type="dxa"/>
            <w:tcBorders>
              <w:top w:val="nil"/>
              <w:left w:val="nil"/>
              <w:bottom w:val="single" w:sz="4" w:space="0" w:color="auto"/>
              <w:right w:val="single" w:sz="4" w:space="0" w:color="auto"/>
            </w:tcBorders>
            <w:shd w:val="clear" w:color="auto" w:fill="auto"/>
            <w:noWrap/>
            <w:vAlign w:val="center"/>
            <w:hideMark/>
          </w:tcPr>
          <w:p w14:paraId="432D2A46"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1.421,9</w:t>
            </w:r>
          </w:p>
        </w:tc>
        <w:tc>
          <w:tcPr>
            <w:tcW w:w="939" w:type="dxa"/>
            <w:tcBorders>
              <w:top w:val="nil"/>
              <w:left w:val="nil"/>
              <w:bottom w:val="single" w:sz="4" w:space="0" w:color="auto"/>
              <w:right w:val="single" w:sz="4" w:space="0" w:color="auto"/>
            </w:tcBorders>
            <w:shd w:val="clear" w:color="auto" w:fill="auto"/>
            <w:noWrap/>
            <w:vAlign w:val="center"/>
            <w:hideMark/>
          </w:tcPr>
          <w:p w14:paraId="36BBA97E"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1.304,1</w:t>
            </w:r>
          </w:p>
        </w:tc>
        <w:tc>
          <w:tcPr>
            <w:tcW w:w="939" w:type="dxa"/>
            <w:tcBorders>
              <w:top w:val="nil"/>
              <w:left w:val="nil"/>
              <w:bottom w:val="single" w:sz="4" w:space="0" w:color="auto"/>
              <w:right w:val="single" w:sz="4" w:space="0" w:color="auto"/>
            </w:tcBorders>
            <w:shd w:val="clear" w:color="auto" w:fill="auto"/>
            <w:noWrap/>
            <w:vAlign w:val="center"/>
            <w:hideMark/>
          </w:tcPr>
          <w:p w14:paraId="586211B3"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1.186,4</w:t>
            </w:r>
          </w:p>
        </w:tc>
        <w:tc>
          <w:tcPr>
            <w:tcW w:w="939" w:type="dxa"/>
            <w:tcBorders>
              <w:top w:val="nil"/>
              <w:left w:val="nil"/>
              <w:bottom w:val="single" w:sz="4" w:space="0" w:color="auto"/>
              <w:right w:val="single" w:sz="4" w:space="0" w:color="auto"/>
            </w:tcBorders>
            <w:shd w:val="clear" w:color="auto" w:fill="auto"/>
            <w:noWrap/>
            <w:vAlign w:val="center"/>
            <w:hideMark/>
          </w:tcPr>
          <w:p w14:paraId="454DF271"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1.068,7</w:t>
            </w:r>
          </w:p>
        </w:tc>
        <w:tc>
          <w:tcPr>
            <w:tcW w:w="767" w:type="dxa"/>
            <w:tcBorders>
              <w:top w:val="nil"/>
              <w:left w:val="nil"/>
              <w:bottom w:val="single" w:sz="4" w:space="0" w:color="auto"/>
              <w:right w:val="single" w:sz="4" w:space="0" w:color="auto"/>
            </w:tcBorders>
            <w:shd w:val="clear" w:color="auto" w:fill="auto"/>
            <w:noWrap/>
            <w:vAlign w:val="center"/>
            <w:hideMark/>
          </w:tcPr>
          <w:p w14:paraId="5A5AC0E6"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951,0</w:t>
            </w:r>
          </w:p>
        </w:tc>
        <w:tc>
          <w:tcPr>
            <w:tcW w:w="767" w:type="dxa"/>
            <w:tcBorders>
              <w:top w:val="nil"/>
              <w:left w:val="nil"/>
              <w:bottom w:val="single" w:sz="4" w:space="0" w:color="auto"/>
              <w:right w:val="single" w:sz="4" w:space="0" w:color="auto"/>
            </w:tcBorders>
            <w:shd w:val="clear" w:color="auto" w:fill="auto"/>
            <w:noWrap/>
            <w:vAlign w:val="center"/>
            <w:hideMark/>
          </w:tcPr>
          <w:p w14:paraId="66A72E50"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858,7</w:t>
            </w:r>
          </w:p>
        </w:tc>
        <w:tc>
          <w:tcPr>
            <w:tcW w:w="767" w:type="dxa"/>
            <w:tcBorders>
              <w:top w:val="nil"/>
              <w:left w:val="nil"/>
              <w:bottom w:val="single" w:sz="4" w:space="0" w:color="auto"/>
              <w:right w:val="single" w:sz="4" w:space="0" w:color="auto"/>
            </w:tcBorders>
            <w:shd w:val="clear" w:color="auto" w:fill="auto"/>
            <w:noWrap/>
            <w:vAlign w:val="center"/>
            <w:hideMark/>
          </w:tcPr>
          <w:p w14:paraId="36A8AF72" w14:textId="77777777" w:rsidR="00355503" w:rsidRPr="00355503" w:rsidRDefault="00355503" w:rsidP="00C05A15">
            <w:pPr>
              <w:jc w:val="right"/>
              <w:rPr>
                <w:rFonts w:ascii="Verdana" w:hAnsi="Verdana" w:cs="Calibri"/>
                <w:b/>
                <w:bCs/>
                <w:sz w:val="18"/>
                <w:szCs w:val="18"/>
                <w:lang w:val="nl-BE" w:eastAsia="nl-BE"/>
              </w:rPr>
            </w:pPr>
            <w:r w:rsidRPr="00355503">
              <w:rPr>
                <w:rFonts w:ascii="Verdana" w:hAnsi="Verdana" w:cs="Calibri"/>
                <w:b/>
                <w:bCs/>
                <w:sz w:val="18"/>
                <w:szCs w:val="18"/>
                <w:lang w:val="nl-BE" w:eastAsia="nl-BE"/>
              </w:rPr>
              <w:t>777,2</w:t>
            </w:r>
          </w:p>
        </w:tc>
      </w:tr>
    </w:tbl>
    <w:p w14:paraId="770E1A18" w14:textId="77777777" w:rsidR="002139D0" w:rsidRPr="002B1740" w:rsidRDefault="002139D0" w:rsidP="002139D0">
      <w:pPr>
        <w:jc w:val="both"/>
        <w:rPr>
          <w:rFonts w:ascii="Verdana" w:hAnsi="Verdana"/>
          <w:sz w:val="20"/>
          <w:szCs w:val="20"/>
        </w:rPr>
      </w:pPr>
    </w:p>
    <w:p w14:paraId="730C048D" w14:textId="77777777" w:rsidR="002139D0" w:rsidRDefault="002139D0" w:rsidP="002139D0">
      <w:pPr>
        <w:jc w:val="both"/>
        <w:rPr>
          <w:rFonts w:ascii="Verdana" w:hAnsi="Verdana"/>
          <w:sz w:val="20"/>
          <w:szCs w:val="20"/>
        </w:rPr>
      </w:pPr>
    </w:p>
    <w:p w14:paraId="2F177C8D" w14:textId="77777777" w:rsidR="002139D0" w:rsidRDefault="002139D0" w:rsidP="002139D0">
      <w:pPr>
        <w:jc w:val="both"/>
        <w:rPr>
          <w:rFonts w:ascii="Verdana" w:hAnsi="Verdana"/>
          <w:sz w:val="20"/>
          <w:szCs w:val="20"/>
        </w:rPr>
      </w:pPr>
    </w:p>
    <w:sectPr w:rsidR="002139D0"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D5C1" w14:textId="77777777" w:rsidR="001E6D1F" w:rsidRDefault="001E6D1F" w:rsidP="004C2DFE">
      <w:r>
        <w:separator/>
      </w:r>
    </w:p>
  </w:endnote>
  <w:endnote w:type="continuationSeparator" w:id="0">
    <w:p w14:paraId="56D3F56A" w14:textId="77777777" w:rsidR="001E6D1F" w:rsidRDefault="001E6D1F" w:rsidP="004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EED5" w14:textId="77777777" w:rsidR="001E6D1F" w:rsidRDefault="001E6D1F" w:rsidP="004C2DFE">
      <w:r>
        <w:separator/>
      </w:r>
    </w:p>
  </w:footnote>
  <w:footnote w:type="continuationSeparator" w:id="0">
    <w:p w14:paraId="2BF37F8C" w14:textId="77777777" w:rsidR="001E6D1F" w:rsidRDefault="001E6D1F" w:rsidP="004C2DFE">
      <w:r>
        <w:continuationSeparator/>
      </w:r>
    </w:p>
  </w:footnote>
  <w:footnote w:id="1">
    <w:p w14:paraId="294092BE" w14:textId="77777777" w:rsidR="002139D0" w:rsidRPr="00E21903" w:rsidRDefault="002139D0" w:rsidP="002139D0">
      <w:pPr>
        <w:pStyle w:val="Voetnoottekst"/>
        <w:rPr>
          <w:sz w:val="16"/>
          <w:szCs w:val="16"/>
        </w:rPr>
      </w:pPr>
      <w:r w:rsidRPr="00E21903">
        <w:rPr>
          <w:rStyle w:val="Voetnootmarkering"/>
          <w:sz w:val="16"/>
          <w:szCs w:val="16"/>
        </w:rPr>
        <w:footnoteRef/>
      </w:r>
      <w:r w:rsidRPr="00E21903">
        <w:rPr>
          <w:sz w:val="16"/>
          <w:szCs w:val="16"/>
        </w:rPr>
        <w:t xml:space="preserve"> 5 jaar in geval van aankoop van een bouwgrond</w:t>
      </w:r>
    </w:p>
  </w:footnote>
  <w:footnote w:id="2">
    <w:p w14:paraId="2E0373D8" w14:textId="002D33D1" w:rsidR="00F45F3D" w:rsidRPr="00F45F3D" w:rsidRDefault="00F45F3D">
      <w:pPr>
        <w:pStyle w:val="Voetnoottekst"/>
        <w:rPr>
          <w:lang w:val="nl-BE"/>
        </w:rPr>
      </w:pPr>
      <w:r>
        <w:rPr>
          <w:rStyle w:val="Voetnootmarkering"/>
        </w:rPr>
        <w:footnoteRef/>
      </w:r>
      <w:r>
        <w:t xml:space="preserve"> </w:t>
      </w:r>
      <w:r w:rsidRPr="00355503">
        <w:rPr>
          <w:sz w:val="16"/>
          <w:szCs w:val="16"/>
        </w:rPr>
        <w:t>Er dient rekening gehouden te worden met het feit dat kopers van een enige eigen woning in het najaar van 2021 het verlijden van de authentieke aankoopakte hebben uitgesteld naar 2022. Bovendien vielen koopovereenkomsten onder het algemene tarief die vóór 1 januari 2022 zijn gesloten, nog onder het tarief van 10%, zelfs als de authentieke akte pas wordt verleden vanaf 1 januari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3C"/>
    <w:multiLevelType w:val="hybridMultilevel"/>
    <w:tmpl w:val="BF441BB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D9655C"/>
    <w:multiLevelType w:val="hybridMultilevel"/>
    <w:tmpl w:val="66FC5644"/>
    <w:lvl w:ilvl="0" w:tplc="304A0FF4">
      <w:start w:val="1"/>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752CA7"/>
    <w:multiLevelType w:val="hybridMultilevel"/>
    <w:tmpl w:val="4816E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9E2F69"/>
    <w:multiLevelType w:val="hybridMultilevel"/>
    <w:tmpl w:val="14FEB264"/>
    <w:lvl w:ilvl="0" w:tplc="79401FCC">
      <w:start w:val="10"/>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2B0EFC"/>
    <w:multiLevelType w:val="hybridMultilevel"/>
    <w:tmpl w:val="8E98D040"/>
    <w:lvl w:ilvl="0" w:tplc="797616B4">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0C0675"/>
    <w:multiLevelType w:val="hybridMultilevel"/>
    <w:tmpl w:val="26667C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A820CC"/>
    <w:multiLevelType w:val="hybridMultilevel"/>
    <w:tmpl w:val="EAD443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15:restartNumberingAfterBreak="0">
    <w:nsid w:val="74441E04"/>
    <w:multiLevelType w:val="hybridMultilevel"/>
    <w:tmpl w:val="78BA0B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37444387">
    <w:abstractNumId w:val="10"/>
  </w:num>
  <w:num w:numId="2" w16cid:durableId="1057701187">
    <w:abstractNumId w:val="10"/>
  </w:num>
  <w:num w:numId="3" w16cid:durableId="1152713961">
    <w:abstractNumId w:val="1"/>
  </w:num>
  <w:num w:numId="4" w16cid:durableId="2067990176">
    <w:abstractNumId w:val="8"/>
  </w:num>
  <w:num w:numId="5" w16cid:durableId="444814609">
    <w:abstractNumId w:val="7"/>
  </w:num>
  <w:num w:numId="6" w16cid:durableId="1257129987">
    <w:abstractNumId w:val="3"/>
  </w:num>
  <w:num w:numId="7" w16cid:durableId="1254170297">
    <w:abstractNumId w:val="2"/>
  </w:num>
  <w:num w:numId="8" w16cid:durableId="1759910278">
    <w:abstractNumId w:val="9"/>
  </w:num>
  <w:num w:numId="9" w16cid:durableId="865361772">
    <w:abstractNumId w:val="11"/>
  </w:num>
  <w:num w:numId="10" w16cid:durableId="91126811">
    <w:abstractNumId w:val="6"/>
  </w:num>
  <w:num w:numId="11" w16cid:durableId="2099673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2649310">
    <w:abstractNumId w:val="5"/>
  </w:num>
  <w:num w:numId="13" w16cid:durableId="49619717">
    <w:abstractNumId w:val="0"/>
  </w:num>
  <w:num w:numId="14" w16cid:durableId="2000648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02631"/>
    <w:rsid w:val="00055A23"/>
    <w:rsid w:val="00096762"/>
    <w:rsid w:val="000976E9"/>
    <w:rsid w:val="000C4E8C"/>
    <w:rsid w:val="000E6BFD"/>
    <w:rsid w:val="000F3532"/>
    <w:rsid w:val="000F697B"/>
    <w:rsid w:val="00137AAE"/>
    <w:rsid w:val="0015479E"/>
    <w:rsid w:val="001703AE"/>
    <w:rsid w:val="00182F7D"/>
    <w:rsid w:val="001A34DD"/>
    <w:rsid w:val="001C1F7E"/>
    <w:rsid w:val="001E6D1F"/>
    <w:rsid w:val="00210C07"/>
    <w:rsid w:val="002139D0"/>
    <w:rsid w:val="002346BF"/>
    <w:rsid w:val="002A253A"/>
    <w:rsid w:val="00301372"/>
    <w:rsid w:val="00326A58"/>
    <w:rsid w:val="003461EC"/>
    <w:rsid w:val="00355503"/>
    <w:rsid w:val="00362B88"/>
    <w:rsid w:val="00377362"/>
    <w:rsid w:val="00377C66"/>
    <w:rsid w:val="003A470F"/>
    <w:rsid w:val="003A4C2D"/>
    <w:rsid w:val="003F4337"/>
    <w:rsid w:val="004625B6"/>
    <w:rsid w:val="00484928"/>
    <w:rsid w:val="004C2DFE"/>
    <w:rsid w:val="004F30D4"/>
    <w:rsid w:val="004F5F5B"/>
    <w:rsid w:val="00501A0E"/>
    <w:rsid w:val="0050246F"/>
    <w:rsid w:val="0052633F"/>
    <w:rsid w:val="00532932"/>
    <w:rsid w:val="00556010"/>
    <w:rsid w:val="00556972"/>
    <w:rsid w:val="00560F76"/>
    <w:rsid w:val="0056360C"/>
    <w:rsid w:val="00571C63"/>
    <w:rsid w:val="0057445D"/>
    <w:rsid w:val="005A2334"/>
    <w:rsid w:val="005A3DFD"/>
    <w:rsid w:val="005D5073"/>
    <w:rsid w:val="005E2A3C"/>
    <w:rsid w:val="005E38CA"/>
    <w:rsid w:val="006563FB"/>
    <w:rsid w:val="0069528B"/>
    <w:rsid w:val="0071248C"/>
    <w:rsid w:val="007252C7"/>
    <w:rsid w:val="0075030D"/>
    <w:rsid w:val="007814B8"/>
    <w:rsid w:val="007A309A"/>
    <w:rsid w:val="007C07F4"/>
    <w:rsid w:val="008150DC"/>
    <w:rsid w:val="008B1B5B"/>
    <w:rsid w:val="008D1BFB"/>
    <w:rsid w:val="008D5DB4"/>
    <w:rsid w:val="009251BF"/>
    <w:rsid w:val="00932B48"/>
    <w:rsid w:val="009347E0"/>
    <w:rsid w:val="009845F1"/>
    <w:rsid w:val="009A5CA0"/>
    <w:rsid w:val="009B3E08"/>
    <w:rsid w:val="009D03DA"/>
    <w:rsid w:val="009D7043"/>
    <w:rsid w:val="00A16D33"/>
    <w:rsid w:val="00A51FBA"/>
    <w:rsid w:val="00A80DD6"/>
    <w:rsid w:val="00AB2C5C"/>
    <w:rsid w:val="00AE4255"/>
    <w:rsid w:val="00AF015F"/>
    <w:rsid w:val="00B17AE6"/>
    <w:rsid w:val="00B45EB2"/>
    <w:rsid w:val="00B65AA3"/>
    <w:rsid w:val="00B66D84"/>
    <w:rsid w:val="00B84E0F"/>
    <w:rsid w:val="00B91F60"/>
    <w:rsid w:val="00B97086"/>
    <w:rsid w:val="00BE2B32"/>
    <w:rsid w:val="00BE425A"/>
    <w:rsid w:val="00C80CF6"/>
    <w:rsid w:val="00C867B4"/>
    <w:rsid w:val="00C91441"/>
    <w:rsid w:val="00CE51AB"/>
    <w:rsid w:val="00D02FE6"/>
    <w:rsid w:val="00D71D99"/>
    <w:rsid w:val="00D754F2"/>
    <w:rsid w:val="00DB41C0"/>
    <w:rsid w:val="00DC4DB6"/>
    <w:rsid w:val="00DD6D22"/>
    <w:rsid w:val="00E55200"/>
    <w:rsid w:val="00E85C8D"/>
    <w:rsid w:val="00ED4AD8"/>
    <w:rsid w:val="00F303BE"/>
    <w:rsid w:val="00F377BC"/>
    <w:rsid w:val="00F453DA"/>
    <w:rsid w:val="00F45F3D"/>
    <w:rsid w:val="00F50C3F"/>
    <w:rsid w:val="00F9434F"/>
    <w:rsid w:val="00FA29D6"/>
    <w:rsid w:val="00FB7BA4"/>
    <w:rsid w:val="00FC79AC"/>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DFBAF"/>
  <w15:docId w15:val="{42A2698F-F6B1-4708-B720-250466AB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C2DFE"/>
    <w:rPr>
      <w:rFonts w:ascii="Tahoma" w:hAnsi="Tahoma" w:cs="Tahoma"/>
      <w:sz w:val="16"/>
      <w:szCs w:val="16"/>
    </w:rPr>
  </w:style>
  <w:style w:type="character" w:customStyle="1" w:styleId="BallontekstChar">
    <w:name w:val="Ballontekst Char"/>
    <w:basedOn w:val="Standaardalinea-lettertype"/>
    <w:link w:val="Ballontekst"/>
    <w:rsid w:val="004C2DFE"/>
    <w:rPr>
      <w:rFonts w:ascii="Tahoma" w:hAnsi="Tahoma" w:cs="Tahoma"/>
      <w:sz w:val="16"/>
      <w:szCs w:val="16"/>
      <w:lang w:val="nl-NL" w:eastAsia="nl-NL"/>
    </w:rPr>
  </w:style>
  <w:style w:type="paragraph" w:styleId="Lijstalinea">
    <w:name w:val="List Paragraph"/>
    <w:basedOn w:val="Standaard"/>
    <w:uiPriority w:val="34"/>
    <w:qFormat/>
    <w:rsid w:val="004C2DFE"/>
    <w:pPr>
      <w:ind w:left="720"/>
      <w:contextualSpacing/>
    </w:pPr>
  </w:style>
  <w:style w:type="table" w:styleId="Tabelraster">
    <w:name w:val="Table Grid"/>
    <w:basedOn w:val="Standaardtabel"/>
    <w:rsid w:val="004C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4C2DFE"/>
    <w:pPr>
      <w:jc w:val="both"/>
    </w:pPr>
    <w:rPr>
      <w:rFonts w:ascii="Verdana" w:hAnsi="Verdana"/>
      <w:sz w:val="20"/>
      <w:szCs w:val="20"/>
    </w:rPr>
  </w:style>
  <w:style w:type="character" w:customStyle="1" w:styleId="VoetnoottekstChar">
    <w:name w:val="Voetnoottekst Char"/>
    <w:basedOn w:val="Standaardalinea-lettertype"/>
    <w:link w:val="Voetnoottekst"/>
    <w:rsid w:val="004C2DFE"/>
    <w:rPr>
      <w:rFonts w:ascii="Verdana" w:hAnsi="Verdana"/>
      <w:lang w:val="nl-NL" w:eastAsia="nl-NL"/>
    </w:rPr>
  </w:style>
  <w:style w:type="character" w:styleId="Voetnootmarkering">
    <w:name w:val="footnote reference"/>
    <w:basedOn w:val="Standaardalinea-lettertype"/>
    <w:unhideWhenUsed/>
    <w:rsid w:val="004C2DFE"/>
    <w:rPr>
      <w:vertAlign w:val="superscript"/>
    </w:rPr>
  </w:style>
  <w:style w:type="paragraph" w:customStyle="1" w:styleId="Nummering">
    <w:name w:val="Nummering"/>
    <w:basedOn w:val="Lijstalinea"/>
    <w:link w:val="NummeringChar"/>
    <w:qFormat/>
    <w:rsid w:val="00A80DD6"/>
    <w:pPr>
      <w:numPr>
        <w:numId w:val="10"/>
      </w:numPr>
      <w:spacing w:after="120"/>
      <w:contextualSpacing w:val="0"/>
      <w:jc w:val="both"/>
    </w:pPr>
    <w:rPr>
      <w:rFonts w:ascii="Verdana" w:hAnsi="Verdana"/>
      <w:sz w:val="20"/>
      <w:lang w:val="en-US"/>
    </w:rPr>
  </w:style>
  <w:style w:type="character" w:customStyle="1" w:styleId="NummeringChar">
    <w:name w:val="Nummering Char"/>
    <w:link w:val="Nummering"/>
    <w:rsid w:val="00A80DD6"/>
    <w:rPr>
      <w:rFonts w:ascii="Verdana" w:hAnsi="Verdana"/>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8788">
      <w:bodyDiv w:val="1"/>
      <w:marLeft w:val="0"/>
      <w:marRight w:val="0"/>
      <w:marTop w:val="0"/>
      <w:marBottom w:val="0"/>
      <w:divBdr>
        <w:top w:val="none" w:sz="0" w:space="0" w:color="auto"/>
        <w:left w:val="none" w:sz="0" w:space="0" w:color="auto"/>
        <w:bottom w:val="none" w:sz="0" w:space="0" w:color="auto"/>
        <w:right w:val="none" w:sz="0" w:space="0" w:color="auto"/>
      </w:divBdr>
    </w:div>
    <w:div w:id="236134542">
      <w:bodyDiv w:val="1"/>
      <w:marLeft w:val="0"/>
      <w:marRight w:val="0"/>
      <w:marTop w:val="0"/>
      <w:marBottom w:val="0"/>
      <w:divBdr>
        <w:top w:val="none" w:sz="0" w:space="0" w:color="auto"/>
        <w:left w:val="none" w:sz="0" w:space="0" w:color="auto"/>
        <w:bottom w:val="none" w:sz="0" w:space="0" w:color="auto"/>
        <w:right w:val="none" w:sz="0" w:space="0" w:color="auto"/>
      </w:divBdr>
    </w:div>
    <w:div w:id="362563641">
      <w:bodyDiv w:val="1"/>
      <w:marLeft w:val="0"/>
      <w:marRight w:val="0"/>
      <w:marTop w:val="0"/>
      <w:marBottom w:val="0"/>
      <w:divBdr>
        <w:top w:val="none" w:sz="0" w:space="0" w:color="auto"/>
        <w:left w:val="none" w:sz="0" w:space="0" w:color="auto"/>
        <w:bottom w:val="none" w:sz="0" w:space="0" w:color="auto"/>
        <w:right w:val="none" w:sz="0" w:space="0" w:color="auto"/>
      </w:divBdr>
    </w:div>
    <w:div w:id="365638736">
      <w:bodyDiv w:val="1"/>
      <w:marLeft w:val="0"/>
      <w:marRight w:val="0"/>
      <w:marTop w:val="0"/>
      <w:marBottom w:val="0"/>
      <w:divBdr>
        <w:top w:val="none" w:sz="0" w:space="0" w:color="auto"/>
        <w:left w:val="none" w:sz="0" w:space="0" w:color="auto"/>
        <w:bottom w:val="none" w:sz="0" w:space="0" w:color="auto"/>
        <w:right w:val="none" w:sz="0" w:space="0" w:color="auto"/>
      </w:divBdr>
    </w:div>
    <w:div w:id="503785014">
      <w:bodyDiv w:val="1"/>
      <w:marLeft w:val="0"/>
      <w:marRight w:val="0"/>
      <w:marTop w:val="0"/>
      <w:marBottom w:val="0"/>
      <w:divBdr>
        <w:top w:val="none" w:sz="0" w:space="0" w:color="auto"/>
        <w:left w:val="none" w:sz="0" w:space="0" w:color="auto"/>
        <w:bottom w:val="none" w:sz="0" w:space="0" w:color="auto"/>
        <w:right w:val="none" w:sz="0" w:space="0" w:color="auto"/>
      </w:divBdr>
    </w:div>
    <w:div w:id="807631208">
      <w:bodyDiv w:val="1"/>
      <w:marLeft w:val="0"/>
      <w:marRight w:val="0"/>
      <w:marTop w:val="0"/>
      <w:marBottom w:val="0"/>
      <w:divBdr>
        <w:top w:val="none" w:sz="0" w:space="0" w:color="auto"/>
        <w:left w:val="none" w:sz="0" w:space="0" w:color="auto"/>
        <w:bottom w:val="none" w:sz="0" w:space="0" w:color="auto"/>
        <w:right w:val="none" w:sz="0" w:space="0" w:color="auto"/>
      </w:divBdr>
    </w:div>
    <w:div w:id="1191379133">
      <w:bodyDiv w:val="1"/>
      <w:marLeft w:val="0"/>
      <w:marRight w:val="0"/>
      <w:marTop w:val="0"/>
      <w:marBottom w:val="0"/>
      <w:divBdr>
        <w:top w:val="none" w:sz="0" w:space="0" w:color="auto"/>
        <w:left w:val="none" w:sz="0" w:space="0" w:color="auto"/>
        <w:bottom w:val="none" w:sz="0" w:space="0" w:color="auto"/>
        <w:right w:val="none" w:sz="0" w:space="0" w:color="auto"/>
      </w:divBdr>
    </w:div>
    <w:div w:id="21436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044D93"/>
    <w:rsid w:val="002D5A2D"/>
    <w:rsid w:val="0032607E"/>
    <w:rsid w:val="005C3481"/>
    <w:rsid w:val="006476A1"/>
    <w:rsid w:val="0078118C"/>
    <w:rsid w:val="00890641"/>
    <w:rsid w:val="00A05226"/>
    <w:rsid w:val="00BF0B63"/>
    <w:rsid w:val="00C3444C"/>
    <w:rsid w:val="00CF41F8"/>
    <w:rsid w:val="00D31BEF"/>
    <w:rsid w:val="00D629DB"/>
    <w:rsid w:val="00DB43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93510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5A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4d6940-b9ec-4ada-b4c2-7f3025c7a757">7D2RFHS3H3CS-1018149361-3212</_dlc_DocId>
    <_dlc_DocIdUrl xmlns="5e4d6940-b9ec-4ada-b4c2-7f3025c7a757">
      <Url>https://team.fb.vlaanderen.be/DOC/DFB/DFB/_layouts/15/DocIdRedir.aspx?ID=7D2RFHS3H3CS-1018149361-3212</Url>
      <Description>7D2RFHS3H3CS-1018149361-3212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FBD154BF0AB546B89B7EA7F0A09E55" ma:contentTypeVersion="0" ma:contentTypeDescription="Een nieuw document maken." ma:contentTypeScope="" ma:versionID="860ff1c015d516477d96c283a4aac52a">
  <xsd:schema xmlns:xsd="http://www.w3.org/2001/XMLSchema" xmlns:xs="http://www.w3.org/2001/XMLSchema" xmlns:p="http://schemas.microsoft.com/office/2006/metadata/properties" xmlns:ns2="5e4d6940-b9ec-4ada-b4c2-7f3025c7a757" targetNamespace="http://schemas.microsoft.com/office/2006/metadata/properties" ma:root="true" ma:fieldsID="4843d2d5df6aa5d7af51710faa7435d4" ns2:_="">
    <xsd:import namespace="5e4d6940-b9ec-4ada-b4c2-7f3025c7a7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d6940-b9ec-4ada-b4c2-7f3025c7a75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2F4BA-9A42-470A-ABDD-22C9D9E4C195}">
  <ds:schemaRefs>
    <ds:schemaRef ds:uri="http://schemas.microsoft.com/sharepoint/events"/>
  </ds:schemaRefs>
</ds:datastoreItem>
</file>

<file path=customXml/itemProps2.xml><?xml version="1.0" encoding="utf-8"?>
<ds:datastoreItem xmlns:ds="http://schemas.openxmlformats.org/officeDocument/2006/customXml" ds:itemID="{90F349D8-2C97-4E0B-BF77-D829F04A6F9C}">
  <ds:schemaRefs>
    <ds:schemaRef ds:uri="http://schemas.openxmlformats.org/officeDocument/2006/bibliography"/>
  </ds:schemaRefs>
</ds:datastoreItem>
</file>

<file path=customXml/itemProps3.xml><?xml version="1.0" encoding="utf-8"?>
<ds:datastoreItem xmlns:ds="http://schemas.openxmlformats.org/officeDocument/2006/customXml" ds:itemID="{6EEECC5C-7A40-4356-BDCA-0A1F679073DC}">
  <ds:schemaRefs>
    <ds:schemaRef ds:uri="http://schemas.microsoft.com/sharepoint/v3/contenttype/forms"/>
  </ds:schemaRefs>
</ds:datastoreItem>
</file>

<file path=customXml/itemProps4.xml><?xml version="1.0" encoding="utf-8"?>
<ds:datastoreItem xmlns:ds="http://schemas.openxmlformats.org/officeDocument/2006/customXml" ds:itemID="{02BBD3C6-1123-4035-8AAD-58D92255BA59}">
  <ds:schemaRefs>
    <ds:schemaRef ds:uri="http://schemas.microsoft.com/office/2006/metadata/properties"/>
    <ds:schemaRef ds:uri="http://schemas.microsoft.com/office/infopath/2007/PartnerControls"/>
    <ds:schemaRef ds:uri="5e4d6940-b9ec-4ada-b4c2-7f3025c7a757"/>
  </ds:schemaRefs>
</ds:datastoreItem>
</file>

<file path=customXml/itemProps5.xml><?xml version="1.0" encoding="utf-8"?>
<ds:datastoreItem xmlns:ds="http://schemas.openxmlformats.org/officeDocument/2006/customXml" ds:itemID="{76A66F53-AF04-4B80-B93F-4B35CBA1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6940-b9ec-4ada-b4c2-7f3025c7a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SchrVr-antwoord8.dot</Template>
  <TotalTime>3</TotalTime>
  <Pages>3</Pages>
  <Words>1018</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2014-08-26T13:40:00Z</cp:lastPrinted>
  <dcterms:created xsi:type="dcterms:W3CDTF">2023-02-21T07:24:00Z</dcterms:created>
  <dcterms:modified xsi:type="dcterms:W3CDTF">2023-03-10T13:28:00Z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39f4b55d-222b-40e4-a6c4-59d2032e2c75</vt:lpwstr>
  </property>
  <property fmtid="{D5CDD505-2E9C-101B-9397-08002B2CF9AE}" pid="3" name="ContentTypeId">
    <vt:lpwstr>0x010100A1FBD154BF0AB546B89B7EA7F0A09E55</vt:lpwstr>
  </property>
</Properties>
</file>