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5AFF" w14:textId="209F1FCF" w:rsidR="0030137E" w:rsidRPr="00DC1E64" w:rsidRDefault="00520279" w:rsidP="00DC1E64">
      <w:pPr>
        <w:jc w:val="both"/>
        <w:rPr>
          <w:rFonts w:ascii="Verdana" w:hAnsi="Verdana"/>
          <w:smallCaps/>
          <w:sz w:val="20"/>
          <w:lang w:val="nl-BE"/>
        </w:rPr>
      </w:pPr>
      <w:proofErr w:type="spellStart"/>
      <w:r w:rsidRPr="00DC1E64">
        <w:rPr>
          <w:rFonts w:ascii="Verdana" w:hAnsi="Verdana"/>
          <w:b/>
          <w:smallCaps/>
          <w:sz w:val="20"/>
          <w:lang w:val="nl-BE"/>
        </w:rPr>
        <w:t>l</w:t>
      </w:r>
      <w:r w:rsidR="0030137E" w:rsidRPr="00DC1E64">
        <w:rPr>
          <w:rFonts w:ascii="Verdana" w:hAnsi="Verdana"/>
          <w:b/>
          <w:smallCaps/>
          <w:sz w:val="20"/>
          <w:lang w:val="nl-BE"/>
        </w:rPr>
        <w:t>ydia</w:t>
      </w:r>
      <w:proofErr w:type="spellEnd"/>
      <w:r w:rsidR="0030137E" w:rsidRPr="00DC1E64">
        <w:rPr>
          <w:rFonts w:ascii="Verdana" w:hAnsi="Verdana"/>
          <w:b/>
          <w:smallCaps/>
          <w:sz w:val="20"/>
          <w:lang w:val="nl-BE"/>
        </w:rPr>
        <w:t xml:space="preserve"> </w:t>
      </w:r>
      <w:proofErr w:type="spellStart"/>
      <w:r w:rsidRPr="00DC1E64">
        <w:rPr>
          <w:rFonts w:ascii="Verdana" w:hAnsi="Verdana"/>
          <w:b/>
          <w:smallCaps/>
          <w:sz w:val="20"/>
          <w:lang w:val="nl-BE"/>
        </w:rPr>
        <w:t>p</w:t>
      </w:r>
      <w:r w:rsidR="0030137E" w:rsidRPr="00DC1E64">
        <w:rPr>
          <w:rFonts w:ascii="Verdana" w:hAnsi="Verdana"/>
          <w:b/>
          <w:smallCaps/>
          <w:sz w:val="20"/>
          <w:lang w:val="nl-BE"/>
        </w:rPr>
        <w:t>eeters</w:t>
      </w:r>
      <w:proofErr w:type="spellEnd"/>
    </w:p>
    <w:p w14:paraId="175DA3FC" w14:textId="77777777" w:rsidR="0030137E" w:rsidRPr="00DC1E64" w:rsidRDefault="0030137E" w:rsidP="00DC1E64">
      <w:pPr>
        <w:jc w:val="both"/>
        <w:rPr>
          <w:rFonts w:ascii="Verdana" w:hAnsi="Verdana"/>
          <w:smallCaps/>
          <w:sz w:val="20"/>
          <w:lang w:val="nl-BE"/>
        </w:rPr>
      </w:pPr>
      <w:proofErr w:type="spellStart"/>
      <w:r w:rsidRPr="00DC1E64">
        <w:rPr>
          <w:rFonts w:ascii="Verdana" w:hAnsi="Verdana"/>
          <w:smallCaps/>
          <w:sz w:val="20"/>
          <w:lang w:val="nl-BE"/>
        </w:rPr>
        <w:t>vlaams</w:t>
      </w:r>
      <w:proofErr w:type="spellEnd"/>
      <w:r w:rsidRPr="00DC1E64">
        <w:rPr>
          <w:rFonts w:ascii="Verdana" w:hAnsi="Verdana"/>
          <w:smallCaps/>
          <w:sz w:val="20"/>
          <w:lang w:val="nl-BE"/>
        </w:rPr>
        <w:t xml:space="preserve"> minister van mobiliteit en openbare werken</w:t>
      </w:r>
    </w:p>
    <w:p w14:paraId="7E68A8A0" w14:textId="77777777" w:rsidR="0030137E" w:rsidRPr="00DC1E64" w:rsidRDefault="0030137E" w:rsidP="00DC1E64">
      <w:pPr>
        <w:pStyle w:val="StandaardSV"/>
        <w:pBdr>
          <w:bottom w:val="single" w:sz="4" w:space="1" w:color="auto"/>
        </w:pBdr>
        <w:rPr>
          <w:rFonts w:ascii="Verdana" w:hAnsi="Verdana"/>
          <w:sz w:val="20"/>
          <w:lang w:val="nl-BE"/>
        </w:rPr>
      </w:pPr>
    </w:p>
    <w:p w14:paraId="1019F72B" w14:textId="77777777" w:rsidR="0030137E" w:rsidRPr="00DC1E64" w:rsidRDefault="0030137E" w:rsidP="00DC1E64">
      <w:pPr>
        <w:jc w:val="both"/>
        <w:rPr>
          <w:rFonts w:ascii="Verdana" w:hAnsi="Verdana"/>
          <w:sz w:val="20"/>
        </w:rPr>
      </w:pPr>
    </w:p>
    <w:p w14:paraId="4F2BD59B" w14:textId="77777777" w:rsidR="0030137E" w:rsidRPr="00DC1E64" w:rsidRDefault="0030137E" w:rsidP="00DC1E64">
      <w:pPr>
        <w:jc w:val="both"/>
        <w:rPr>
          <w:rFonts w:ascii="Verdana" w:hAnsi="Verdana"/>
          <w:b/>
          <w:sz w:val="20"/>
        </w:rPr>
      </w:pPr>
      <w:r w:rsidRPr="00DC1E64">
        <w:rPr>
          <w:rFonts w:ascii="Verdana" w:hAnsi="Verdana"/>
          <w:b/>
          <w:smallCaps/>
          <w:sz w:val="20"/>
          <w:lang w:val="nl-BE"/>
        </w:rPr>
        <w:t>antwoord</w:t>
      </w:r>
    </w:p>
    <w:p w14:paraId="08DDBBBA" w14:textId="7F78286D" w:rsidR="0030137E" w:rsidRPr="00DC1E64" w:rsidRDefault="0030137E" w:rsidP="00DC1E64">
      <w:pPr>
        <w:jc w:val="both"/>
        <w:rPr>
          <w:rFonts w:ascii="Verdana" w:hAnsi="Verdana"/>
          <w:b/>
          <w:bCs/>
          <w:smallCaps/>
          <w:sz w:val="20"/>
        </w:rPr>
      </w:pPr>
      <w:r w:rsidRPr="00DC1E64">
        <w:rPr>
          <w:rFonts w:ascii="Verdana" w:hAnsi="Verdana"/>
          <w:sz w:val="20"/>
        </w:rPr>
        <w:t xml:space="preserve">op vraag nr. </w:t>
      </w:r>
      <w:sdt>
        <w:sdtPr>
          <w:rPr>
            <w:rFonts w:ascii="Verdana" w:hAnsi="Verdana"/>
            <w:sz w:val="20"/>
          </w:rPr>
          <w:alias w:val="nrSV"/>
          <w:tag w:val="nrSV"/>
          <w:id w:val="754179592"/>
          <w:placeholder>
            <w:docPart w:val="663C0AF3A07B44D388F9988C819D5031"/>
          </w:placeholder>
          <w:showingPlcHdr/>
        </w:sdtPr>
        <w:sdtEndPr/>
        <w:sdtContent>
          <w:r w:rsidRPr="00DC1E64">
            <w:rPr>
              <w:rFonts w:ascii="Verdana" w:hAnsi="Verdana"/>
              <w:sz w:val="20"/>
            </w:rPr>
            <w:t>1547</w:t>
          </w:r>
        </w:sdtContent>
      </w:sdt>
      <w:r w:rsidRPr="00DC1E64">
        <w:rPr>
          <w:rFonts w:ascii="Verdana" w:hAnsi="Verdana"/>
          <w:sz w:val="20"/>
        </w:rPr>
        <w:t xml:space="preserve"> van</w:t>
      </w:r>
      <w:r w:rsidR="7F068B4F" w:rsidRPr="00DC1E64">
        <w:rPr>
          <w:rFonts w:ascii="Verdana" w:hAnsi="Verdana"/>
          <w:sz w:val="20"/>
        </w:rPr>
        <w:t xml:space="preserve"> 26 augustus 2021 </w:t>
      </w:r>
    </w:p>
    <w:p w14:paraId="44DF0CCF" w14:textId="41650D5F" w:rsidR="0030137E" w:rsidRPr="00DC1E64" w:rsidRDefault="0030137E" w:rsidP="00DC1E64">
      <w:pPr>
        <w:jc w:val="both"/>
        <w:rPr>
          <w:rFonts w:ascii="Verdana" w:hAnsi="Verdana"/>
          <w:b/>
          <w:bCs/>
          <w:smallCaps/>
          <w:sz w:val="20"/>
        </w:rPr>
      </w:pPr>
      <w:r w:rsidRPr="00DC1E64">
        <w:rPr>
          <w:rFonts w:ascii="Verdana" w:hAnsi="Verdana"/>
          <w:sz w:val="20"/>
        </w:rPr>
        <w:t xml:space="preserve">van </w:t>
      </w:r>
      <w:sdt>
        <w:sdtPr>
          <w:rPr>
            <w:rFonts w:ascii="Verdana" w:hAnsi="Verdana"/>
            <w:b/>
            <w:bCs/>
            <w:smallCaps/>
            <w:sz w:val="20"/>
            <w:lang w:val="nl-BE"/>
          </w:rPr>
          <w:alias w:val="Vraagsteller"/>
          <w:tag w:val="Vraagsteller"/>
          <w:id w:val="622704171"/>
          <w:placeholder>
            <w:docPart w:val="E4CDDFF8C7F74392BD310481F1322D7D"/>
          </w:placeholder>
        </w:sdtPr>
        <w:sdtEndPr/>
        <w:sdtContent>
          <w:proofErr w:type="spellStart"/>
          <w:r w:rsidRPr="00DC1E64">
            <w:rPr>
              <w:rFonts w:ascii="Verdana" w:hAnsi="Verdana"/>
              <w:b/>
              <w:bCs/>
              <w:smallCaps/>
              <w:sz w:val="20"/>
              <w:lang w:val="nl-BE"/>
            </w:rPr>
            <w:t>mercedes</w:t>
          </w:r>
          <w:proofErr w:type="spellEnd"/>
          <w:r w:rsidRPr="00DC1E64">
            <w:rPr>
              <w:rFonts w:ascii="Verdana" w:hAnsi="Verdana"/>
              <w:b/>
              <w:bCs/>
              <w:smallCaps/>
              <w:sz w:val="20"/>
              <w:lang w:val="nl-BE"/>
            </w:rPr>
            <w:t xml:space="preserve"> van </w:t>
          </w:r>
          <w:proofErr w:type="spellStart"/>
          <w:r w:rsidRPr="00DC1E64">
            <w:rPr>
              <w:rFonts w:ascii="Verdana" w:hAnsi="Verdana"/>
              <w:b/>
              <w:bCs/>
              <w:smallCaps/>
              <w:sz w:val="20"/>
              <w:lang w:val="nl-BE"/>
            </w:rPr>
            <w:t>volcem</w:t>
          </w:r>
          <w:proofErr w:type="spellEnd"/>
        </w:sdtContent>
      </w:sdt>
      <w:r w:rsidRPr="00DC1E64">
        <w:rPr>
          <w:rFonts w:ascii="Verdana" w:hAnsi="Verdana"/>
          <w:b/>
          <w:bCs/>
          <w:smallCaps/>
          <w:sz w:val="20"/>
          <w:lang w:val="nl-BE"/>
        </w:rPr>
        <w:t xml:space="preserve"> </w:t>
      </w:r>
    </w:p>
    <w:p w14:paraId="3BFB47B4" w14:textId="77777777" w:rsidR="0030137E" w:rsidRPr="00DC1E64" w:rsidRDefault="0030137E" w:rsidP="00DC1E64">
      <w:pPr>
        <w:pBdr>
          <w:bottom w:val="single" w:sz="4" w:space="1" w:color="auto"/>
        </w:pBdr>
        <w:jc w:val="both"/>
        <w:rPr>
          <w:rFonts w:ascii="Verdana" w:hAnsi="Verdana"/>
          <w:sz w:val="20"/>
        </w:rPr>
      </w:pPr>
    </w:p>
    <w:p w14:paraId="31FA8A73" w14:textId="389B33A8" w:rsidR="0030137E" w:rsidRPr="00DC1E64" w:rsidRDefault="0030137E" w:rsidP="00DC1E64">
      <w:pPr>
        <w:ind w:left="426"/>
        <w:jc w:val="both"/>
        <w:rPr>
          <w:rFonts w:ascii="Verdana" w:hAnsi="Verdana"/>
          <w:sz w:val="20"/>
        </w:rPr>
      </w:pPr>
    </w:p>
    <w:p w14:paraId="35198D46" w14:textId="77777777" w:rsidR="00520279" w:rsidRPr="00DC1E64" w:rsidRDefault="00520279" w:rsidP="00DC1E64">
      <w:pPr>
        <w:ind w:left="426"/>
        <w:jc w:val="both"/>
        <w:rPr>
          <w:rFonts w:ascii="Verdana" w:hAnsi="Verdana"/>
          <w:sz w:val="20"/>
        </w:rPr>
      </w:pPr>
    </w:p>
    <w:p w14:paraId="2ECC11CA" w14:textId="77777777" w:rsidR="00520279" w:rsidRPr="00DC1E64" w:rsidRDefault="0030137E" w:rsidP="00DC1E64">
      <w:pPr>
        <w:pStyle w:val="Nummering"/>
        <w:spacing w:after="0"/>
        <w:rPr>
          <w:rFonts w:eastAsia="Verdana"/>
          <w:szCs w:val="20"/>
          <w:lang w:val="nl-BE"/>
        </w:rPr>
      </w:pPr>
      <w:r w:rsidRPr="00DC1E64">
        <w:rPr>
          <w:rFonts w:eastAsia="Verdana"/>
          <w:szCs w:val="20"/>
          <w:lang w:val="nl-BE"/>
        </w:rPr>
        <w:t>Voor het antwoord op deze vraag verwijs ik u naar mijn antwoord op uw eerdere vraag nr. 967 van 13 juni 2020. In dit antwoord wordt gerapporteerd over de conformiteit (en befietsbaarheid) van de fietssnelwegen in de provincies Oost-Vlaanderen, West-Vlaanderen, Limburg en Vlaams-Brabant. De data waarop deze gegevens zijn gebaseerd dateren van de opmeting die plaats vond in 2018-2019. Mijn administratie heeft de bedoeling om in de nabije toekomst deze data te updaten via een nieuwe meting. In het antwoord op vraag nr. 967 ontbrak de conformiteit van de fietssnelwegen in de provincie Antwerpen. Ondertussen heeft mijn administratie de gegevens ontvangen van de provincie Antwerpen, maar is zij nog volop bezig met de verwerking van deze data.</w:t>
      </w:r>
    </w:p>
    <w:p w14:paraId="739E313F" w14:textId="1393F935" w:rsidR="0030137E" w:rsidRPr="00DC1E64" w:rsidRDefault="0030137E" w:rsidP="00DC1E64">
      <w:pPr>
        <w:pStyle w:val="Nummering"/>
        <w:numPr>
          <w:ilvl w:val="0"/>
          <w:numId w:val="0"/>
        </w:numPr>
        <w:spacing w:after="0"/>
        <w:ind w:left="425"/>
        <w:rPr>
          <w:rFonts w:eastAsia="Verdana"/>
          <w:szCs w:val="20"/>
          <w:lang w:val="nl-BE"/>
        </w:rPr>
      </w:pPr>
      <w:r w:rsidRPr="00DC1E64">
        <w:rPr>
          <w:rFonts w:eastAsia="Verdana"/>
          <w:szCs w:val="20"/>
          <w:lang w:val="nl-BE"/>
        </w:rPr>
        <w:t xml:space="preserve"> </w:t>
      </w:r>
    </w:p>
    <w:p w14:paraId="16D42511" w14:textId="78D67BF3" w:rsidR="0030137E" w:rsidRPr="00DC1E64" w:rsidRDefault="0030137E" w:rsidP="00DC1E64">
      <w:pPr>
        <w:pStyle w:val="Nummering"/>
        <w:numPr>
          <w:ilvl w:val="1"/>
          <w:numId w:val="11"/>
        </w:numPr>
        <w:spacing w:after="0"/>
        <w:ind w:left="426" w:hanging="426"/>
        <w:rPr>
          <w:rFonts w:eastAsia="Verdana"/>
          <w:szCs w:val="20"/>
          <w:lang w:val="nl-BE"/>
        </w:rPr>
      </w:pPr>
      <w:r w:rsidRPr="00DC1E64">
        <w:rPr>
          <w:szCs w:val="20"/>
          <w:lang w:val="nl-BE"/>
        </w:rPr>
        <w:t xml:space="preserve">Hieronder een overzichtstabel van het aantal kilometer fietspad dat correspondeert met de vastleggingen voor 2014-2020, per provincie. Er werd niet bijgehouden of deze kilometers betrekking hadden op een fietssnelweg of niet. </w:t>
      </w:r>
    </w:p>
    <w:p w14:paraId="52E11C7B" w14:textId="77777777" w:rsidR="00520279" w:rsidRPr="00DC1E64" w:rsidRDefault="00520279" w:rsidP="00DC1E64">
      <w:pPr>
        <w:pStyle w:val="Nummering"/>
        <w:numPr>
          <w:ilvl w:val="0"/>
          <w:numId w:val="0"/>
        </w:numPr>
        <w:spacing w:after="0"/>
        <w:ind w:left="425"/>
        <w:rPr>
          <w:rFonts w:eastAsia="Verdana"/>
          <w:szCs w:val="20"/>
          <w:lang w:val="nl-BE"/>
        </w:rPr>
      </w:pPr>
    </w:p>
    <w:tbl>
      <w:tblPr>
        <w:tblW w:w="10836" w:type="dxa"/>
        <w:tblInd w:w="-892" w:type="dxa"/>
        <w:tblCellMar>
          <w:top w:w="15" w:type="dxa"/>
          <w:left w:w="70" w:type="dxa"/>
          <w:bottom w:w="15" w:type="dxa"/>
          <w:right w:w="70" w:type="dxa"/>
        </w:tblCellMar>
        <w:tblLook w:val="04A0" w:firstRow="1" w:lastRow="0" w:firstColumn="1" w:lastColumn="0" w:noHBand="0" w:noVBand="1"/>
      </w:tblPr>
      <w:tblGrid>
        <w:gridCol w:w="1575"/>
        <w:gridCol w:w="1373"/>
        <w:gridCol w:w="1070"/>
        <w:gridCol w:w="1201"/>
        <w:gridCol w:w="1419"/>
        <w:gridCol w:w="1419"/>
        <w:gridCol w:w="1855"/>
        <w:gridCol w:w="924"/>
      </w:tblGrid>
      <w:tr w:rsidR="0030137E" w:rsidRPr="00DC1E64" w14:paraId="0247D5C1" w14:textId="77777777" w:rsidTr="00DC1E64">
        <w:trPr>
          <w:trHeight w:val="248"/>
        </w:trPr>
        <w:tc>
          <w:tcPr>
            <w:tcW w:w="1575" w:type="dxa"/>
            <w:tcBorders>
              <w:top w:val="single" w:sz="4" w:space="0" w:color="000000"/>
              <w:left w:val="single" w:sz="4" w:space="0" w:color="000000"/>
              <w:bottom w:val="single" w:sz="4" w:space="0" w:color="000000"/>
              <w:right w:val="nil"/>
            </w:tcBorders>
            <w:noWrap/>
            <w:vAlign w:val="bottom"/>
            <w:hideMark/>
          </w:tcPr>
          <w:p w14:paraId="639EB54C" w14:textId="77777777" w:rsidR="0030137E" w:rsidRPr="00DC1E64" w:rsidRDefault="0030137E" w:rsidP="00DC1E64">
            <w:pPr>
              <w:rPr>
                <w:rFonts w:ascii="Verdana" w:hAnsi="Verdana"/>
                <w:sz w:val="20"/>
                <w:lang w:val="nl-BE" w:eastAsia="nl-BE"/>
              </w:rPr>
            </w:pPr>
          </w:p>
        </w:tc>
        <w:tc>
          <w:tcPr>
            <w:tcW w:w="1373" w:type="dxa"/>
            <w:tcBorders>
              <w:top w:val="single" w:sz="4" w:space="0" w:color="000000"/>
              <w:left w:val="nil"/>
              <w:bottom w:val="single" w:sz="4" w:space="0" w:color="000000"/>
              <w:right w:val="nil"/>
            </w:tcBorders>
            <w:noWrap/>
            <w:vAlign w:val="bottom"/>
            <w:hideMark/>
          </w:tcPr>
          <w:p w14:paraId="5A9E0052"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Antwerpen</w:t>
            </w:r>
          </w:p>
        </w:tc>
        <w:tc>
          <w:tcPr>
            <w:tcW w:w="1070" w:type="dxa"/>
            <w:tcBorders>
              <w:top w:val="single" w:sz="4" w:space="0" w:color="000000"/>
              <w:left w:val="nil"/>
              <w:bottom w:val="single" w:sz="4" w:space="0" w:color="000000"/>
              <w:right w:val="nil"/>
            </w:tcBorders>
            <w:noWrap/>
            <w:vAlign w:val="bottom"/>
            <w:hideMark/>
          </w:tcPr>
          <w:p w14:paraId="7A7F3036"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Limburg</w:t>
            </w:r>
          </w:p>
        </w:tc>
        <w:tc>
          <w:tcPr>
            <w:tcW w:w="1201" w:type="dxa"/>
            <w:tcBorders>
              <w:top w:val="single" w:sz="4" w:space="0" w:color="000000"/>
              <w:left w:val="nil"/>
              <w:bottom w:val="single" w:sz="4" w:space="0" w:color="000000"/>
              <w:right w:val="nil"/>
            </w:tcBorders>
            <w:noWrap/>
            <w:vAlign w:val="bottom"/>
            <w:hideMark/>
          </w:tcPr>
          <w:p w14:paraId="7C69936E"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Vlaams-Brabant</w:t>
            </w:r>
          </w:p>
        </w:tc>
        <w:tc>
          <w:tcPr>
            <w:tcW w:w="1419" w:type="dxa"/>
            <w:tcBorders>
              <w:top w:val="single" w:sz="4" w:space="0" w:color="000000"/>
              <w:left w:val="nil"/>
              <w:bottom w:val="single" w:sz="4" w:space="0" w:color="000000"/>
              <w:right w:val="nil"/>
            </w:tcBorders>
            <w:noWrap/>
            <w:vAlign w:val="bottom"/>
            <w:hideMark/>
          </w:tcPr>
          <w:p w14:paraId="7949E110"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Oost-Vlaanderen</w:t>
            </w:r>
          </w:p>
        </w:tc>
        <w:tc>
          <w:tcPr>
            <w:tcW w:w="1419" w:type="dxa"/>
            <w:tcBorders>
              <w:top w:val="single" w:sz="4" w:space="0" w:color="000000"/>
              <w:left w:val="nil"/>
              <w:bottom w:val="single" w:sz="4" w:space="0" w:color="000000"/>
              <w:right w:val="nil"/>
            </w:tcBorders>
            <w:noWrap/>
            <w:vAlign w:val="bottom"/>
            <w:hideMark/>
          </w:tcPr>
          <w:p w14:paraId="224C17A1"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West-Vlaanderen</w:t>
            </w:r>
          </w:p>
        </w:tc>
        <w:tc>
          <w:tcPr>
            <w:tcW w:w="1855" w:type="dxa"/>
            <w:tcBorders>
              <w:top w:val="single" w:sz="4" w:space="0" w:color="000000"/>
              <w:left w:val="nil"/>
              <w:bottom w:val="single" w:sz="4" w:space="0" w:color="000000"/>
              <w:right w:val="nil"/>
            </w:tcBorders>
            <w:noWrap/>
            <w:vAlign w:val="bottom"/>
            <w:hideMark/>
          </w:tcPr>
          <w:p w14:paraId="5C3335DB"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Overschrijdend</w:t>
            </w:r>
          </w:p>
        </w:tc>
        <w:tc>
          <w:tcPr>
            <w:tcW w:w="924" w:type="dxa"/>
            <w:tcBorders>
              <w:top w:val="single" w:sz="4" w:space="0" w:color="000000"/>
              <w:left w:val="nil"/>
              <w:bottom w:val="single" w:sz="4" w:space="0" w:color="000000"/>
              <w:right w:val="single" w:sz="4" w:space="0" w:color="000000"/>
            </w:tcBorders>
            <w:noWrap/>
            <w:vAlign w:val="bottom"/>
            <w:hideMark/>
          </w:tcPr>
          <w:p w14:paraId="33A5FF81"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Totaal</w:t>
            </w:r>
          </w:p>
        </w:tc>
      </w:tr>
      <w:tr w:rsidR="0030137E" w:rsidRPr="00DC1E64" w14:paraId="543AFE70" w14:textId="77777777" w:rsidTr="00DC1E64">
        <w:trPr>
          <w:trHeight w:val="248"/>
        </w:trPr>
        <w:tc>
          <w:tcPr>
            <w:tcW w:w="1575" w:type="dxa"/>
            <w:tcBorders>
              <w:top w:val="nil"/>
              <w:left w:val="single" w:sz="4" w:space="0" w:color="000000"/>
              <w:bottom w:val="nil"/>
              <w:right w:val="single" w:sz="4" w:space="0" w:color="000000"/>
            </w:tcBorders>
            <w:noWrap/>
            <w:vAlign w:val="bottom"/>
            <w:hideMark/>
          </w:tcPr>
          <w:p w14:paraId="18DFF115"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2014</w:t>
            </w:r>
          </w:p>
        </w:tc>
        <w:tc>
          <w:tcPr>
            <w:tcW w:w="1373" w:type="dxa"/>
            <w:tcBorders>
              <w:top w:val="nil"/>
              <w:left w:val="nil"/>
              <w:bottom w:val="nil"/>
              <w:right w:val="nil"/>
            </w:tcBorders>
            <w:noWrap/>
            <w:vAlign w:val="bottom"/>
            <w:hideMark/>
          </w:tcPr>
          <w:p w14:paraId="62306D4C"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77,02</w:t>
            </w:r>
          </w:p>
        </w:tc>
        <w:tc>
          <w:tcPr>
            <w:tcW w:w="1070" w:type="dxa"/>
            <w:tcBorders>
              <w:top w:val="nil"/>
              <w:left w:val="nil"/>
              <w:bottom w:val="nil"/>
              <w:right w:val="nil"/>
            </w:tcBorders>
            <w:noWrap/>
            <w:vAlign w:val="bottom"/>
            <w:hideMark/>
          </w:tcPr>
          <w:p w14:paraId="76DDF611"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49,75</w:t>
            </w:r>
          </w:p>
        </w:tc>
        <w:tc>
          <w:tcPr>
            <w:tcW w:w="1201" w:type="dxa"/>
            <w:tcBorders>
              <w:top w:val="nil"/>
              <w:left w:val="nil"/>
              <w:bottom w:val="nil"/>
              <w:right w:val="nil"/>
            </w:tcBorders>
            <w:noWrap/>
            <w:vAlign w:val="bottom"/>
            <w:hideMark/>
          </w:tcPr>
          <w:p w14:paraId="3C35D4E0"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21,89</w:t>
            </w:r>
          </w:p>
        </w:tc>
        <w:tc>
          <w:tcPr>
            <w:tcW w:w="1419" w:type="dxa"/>
            <w:tcBorders>
              <w:top w:val="nil"/>
              <w:left w:val="nil"/>
              <w:bottom w:val="nil"/>
              <w:right w:val="nil"/>
            </w:tcBorders>
            <w:noWrap/>
            <w:vAlign w:val="bottom"/>
            <w:hideMark/>
          </w:tcPr>
          <w:p w14:paraId="78346206"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37,74</w:t>
            </w:r>
          </w:p>
        </w:tc>
        <w:tc>
          <w:tcPr>
            <w:tcW w:w="1419" w:type="dxa"/>
            <w:tcBorders>
              <w:top w:val="nil"/>
              <w:left w:val="nil"/>
              <w:bottom w:val="nil"/>
              <w:right w:val="nil"/>
            </w:tcBorders>
            <w:noWrap/>
            <w:vAlign w:val="bottom"/>
            <w:hideMark/>
          </w:tcPr>
          <w:p w14:paraId="0CA1796B"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50,28</w:t>
            </w:r>
          </w:p>
        </w:tc>
        <w:tc>
          <w:tcPr>
            <w:tcW w:w="1855" w:type="dxa"/>
            <w:tcBorders>
              <w:top w:val="nil"/>
              <w:left w:val="nil"/>
              <w:bottom w:val="nil"/>
              <w:right w:val="nil"/>
            </w:tcBorders>
            <w:noWrap/>
            <w:vAlign w:val="bottom"/>
            <w:hideMark/>
          </w:tcPr>
          <w:p w14:paraId="29BBAD74"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0,00</w:t>
            </w:r>
          </w:p>
        </w:tc>
        <w:tc>
          <w:tcPr>
            <w:tcW w:w="924" w:type="dxa"/>
            <w:tcBorders>
              <w:top w:val="nil"/>
              <w:left w:val="nil"/>
              <w:bottom w:val="nil"/>
              <w:right w:val="single" w:sz="4" w:space="0" w:color="000000"/>
            </w:tcBorders>
            <w:noWrap/>
            <w:vAlign w:val="bottom"/>
            <w:hideMark/>
          </w:tcPr>
          <w:p w14:paraId="1FF9FBBB"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236,68</w:t>
            </w:r>
          </w:p>
        </w:tc>
      </w:tr>
      <w:tr w:rsidR="0030137E" w:rsidRPr="00DC1E64" w14:paraId="1EA4BBDF" w14:textId="77777777" w:rsidTr="00DC1E64">
        <w:trPr>
          <w:trHeight w:val="248"/>
        </w:trPr>
        <w:tc>
          <w:tcPr>
            <w:tcW w:w="1575" w:type="dxa"/>
            <w:tcBorders>
              <w:top w:val="nil"/>
              <w:left w:val="single" w:sz="4" w:space="0" w:color="000000"/>
              <w:bottom w:val="nil"/>
              <w:right w:val="single" w:sz="4" w:space="0" w:color="000000"/>
            </w:tcBorders>
            <w:noWrap/>
            <w:vAlign w:val="bottom"/>
            <w:hideMark/>
          </w:tcPr>
          <w:p w14:paraId="763FEFCB"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2015</w:t>
            </w:r>
          </w:p>
        </w:tc>
        <w:tc>
          <w:tcPr>
            <w:tcW w:w="1373" w:type="dxa"/>
            <w:tcBorders>
              <w:top w:val="nil"/>
              <w:left w:val="nil"/>
              <w:bottom w:val="nil"/>
              <w:right w:val="nil"/>
            </w:tcBorders>
            <w:noWrap/>
            <w:vAlign w:val="bottom"/>
            <w:hideMark/>
          </w:tcPr>
          <w:p w14:paraId="0DDF282C"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61,76</w:t>
            </w:r>
          </w:p>
        </w:tc>
        <w:tc>
          <w:tcPr>
            <w:tcW w:w="1070" w:type="dxa"/>
            <w:tcBorders>
              <w:top w:val="nil"/>
              <w:left w:val="nil"/>
              <w:bottom w:val="nil"/>
              <w:right w:val="nil"/>
            </w:tcBorders>
            <w:noWrap/>
            <w:vAlign w:val="bottom"/>
            <w:hideMark/>
          </w:tcPr>
          <w:p w14:paraId="4514E957"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52,51</w:t>
            </w:r>
          </w:p>
        </w:tc>
        <w:tc>
          <w:tcPr>
            <w:tcW w:w="1201" w:type="dxa"/>
            <w:tcBorders>
              <w:top w:val="nil"/>
              <w:left w:val="nil"/>
              <w:bottom w:val="nil"/>
              <w:right w:val="nil"/>
            </w:tcBorders>
            <w:noWrap/>
            <w:vAlign w:val="bottom"/>
            <w:hideMark/>
          </w:tcPr>
          <w:p w14:paraId="4E4881C6"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22,43</w:t>
            </w:r>
          </w:p>
        </w:tc>
        <w:tc>
          <w:tcPr>
            <w:tcW w:w="1419" w:type="dxa"/>
            <w:tcBorders>
              <w:top w:val="nil"/>
              <w:left w:val="nil"/>
              <w:bottom w:val="nil"/>
              <w:right w:val="nil"/>
            </w:tcBorders>
            <w:noWrap/>
            <w:vAlign w:val="bottom"/>
            <w:hideMark/>
          </w:tcPr>
          <w:p w14:paraId="4EA77A98"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50,57</w:t>
            </w:r>
          </w:p>
        </w:tc>
        <w:tc>
          <w:tcPr>
            <w:tcW w:w="1419" w:type="dxa"/>
            <w:tcBorders>
              <w:top w:val="nil"/>
              <w:left w:val="nil"/>
              <w:bottom w:val="nil"/>
              <w:right w:val="nil"/>
            </w:tcBorders>
            <w:noWrap/>
            <w:vAlign w:val="bottom"/>
            <w:hideMark/>
          </w:tcPr>
          <w:p w14:paraId="0A17081E"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16,36</w:t>
            </w:r>
          </w:p>
        </w:tc>
        <w:tc>
          <w:tcPr>
            <w:tcW w:w="1855" w:type="dxa"/>
            <w:tcBorders>
              <w:top w:val="nil"/>
              <w:left w:val="nil"/>
              <w:bottom w:val="nil"/>
              <w:right w:val="nil"/>
            </w:tcBorders>
            <w:noWrap/>
            <w:vAlign w:val="bottom"/>
            <w:hideMark/>
          </w:tcPr>
          <w:p w14:paraId="309F13C8"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10,60</w:t>
            </w:r>
          </w:p>
        </w:tc>
        <w:tc>
          <w:tcPr>
            <w:tcW w:w="924" w:type="dxa"/>
            <w:tcBorders>
              <w:top w:val="nil"/>
              <w:left w:val="nil"/>
              <w:bottom w:val="nil"/>
              <w:right w:val="single" w:sz="4" w:space="0" w:color="000000"/>
            </w:tcBorders>
            <w:noWrap/>
            <w:vAlign w:val="bottom"/>
            <w:hideMark/>
          </w:tcPr>
          <w:p w14:paraId="61C6B1ED"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214,22</w:t>
            </w:r>
          </w:p>
        </w:tc>
      </w:tr>
      <w:tr w:rsidR="0030137E" w:rsidRPr="00DC1E64" w14:paraId="0E5ECF4F" w14:textId="77777777" w:rsidTr="00DC1E64">
        <w:trPr>
          <w:trHeight w:val="248"/>
        </w:trPr>
        <w:tc>
          <w:tcPr>
            <w:tcW w:w="1575" w:type="dxa"/>
            <w:tcBorders>
              <w:top w:val="nil"/>
              <w:left w:val="single" w:sz="4" w:space="0" w:color="000000"/>
              <w:bottom w:val="nil"/>
              <w:right w:val="single" w:sz="4" w:space="0" w:color="000000"/>
            </w:tcBorders>
            <w:noWrap/>
            <w:vAlign w:val="bottom"/>
            <w:hideMark/>
          </w:tcPr>
          <w:p w14:paraId="30C82DA2"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2016</w:t>
            </w:r>
          </w:p>
        </w:tc>
        <w:tc>
          <w:tcPr>
            <w:tcW w:w="1373" w:type="dxa"/>
            <w:tcBorders>
              <w:top w:val="nil"/>
              <w:left w:val="nil"/>
              <w:bottom w:val="nil"/>
              <w:right w:val="nil"/>
            </w:tcBorders>
            <w:noWrap/>
            <w:vAlign w:val="bottom"/>
            <w:hideMark/>
          </w:tcPr>
          <w:p w14:paraId="0A8B6E9B"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25,18</w:t>
            </w:r>
          </w:p>
        </w:tc>
        <w:tc>
          <w:tcPr>
            <w:tcW w:w="1070" w:type="dxa"/>
            <w:tcBorders>
              <w:top w:val="nil"/>
              <w:left w:val="nil"/>
              <w:bottom w:val="nil"/>
              <w:right w:val="nil"/>
            </w:tcBorders>
            <w:noWrap/>
            <w:vAlign w:val="bottom"/>
            <w:hideMark/>
          </w:tcPr>
          <w:p w14:paraId="221EE01D"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71,53</w:t>
            </w:r>
          </w:p>
        </w:tc>
        <w:tc>
          <w:tcPr>
            <w:tcW w:w="1201" w:type="dxa"/>
            <w:tcBorders>
              <w:top w:val="nil"/>
              <w:left w:val="nil"/>
              <w:bottom w:val="nil"/>
              <w:right w:val="nil"/>
            </w:tcBorders>
            <w:noWrap/>
            <w:vAlign w:val="bottom"/>
            <w:hideMark/>
          </w:tcPr>
          <w:p w14:paraId="15888E08"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46,91</w:t>
            </w:r>
          </w:p>
        </w:tc>
        <w:tc>
          <w:tcPr>
            <w:tcW w:w="1419" w:type="dxa"/>
            <w:tcBorders>
              <w:top w:val="nil"/>
              <w:left w:val="nil"/>
              <w:bottom w:val="nil"/>
              <w:right w:val="nil"/>
            </w:tcBorders>
            <w:noWrap/>
            <w:vAlign w:val="bottom"/>
            <w:hideMark/>
          </w:tcPr>
          <w:p w14:paraId="32BD860D"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9,47</w:t>
            </w:r>
          </w:p>
        </w:tc>
        <w:tc>
          <w:tcPr>
            <w:tcW w:w="1419" w:type="dxa"/>
            <w:tcBorders>
              <w:top w:val="nil"/>
              <w:left w:val="nil"/>
              <w:bottom w:val="nil"/>
              <w:right w:val="nil"/>
            </w:tcBorders>
            <w:noWrap/>
            <w:vAlign w:val="bottom"/>
            <w:hideMark/>
          </w:tcPr>
          <w:p w14:paraId="2BCC5C98"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33,37</w:t>
            </w:r>
          </w:p>
        </w:tc>
        <w:tc>
          <w:tcPr>
            <w:tcW w:w="1855" w:type="dxa"/>
            <w:tcBorders>
              <w:top w:val="nil"/>
              <w:left w:val="nil"/>
              <w:bottom w:val="nil"/>
              <w:right w:val="nil"/>
            </w:tcBorders>
            <w:noWrap/>
            <w:vAlign w:val="bottom"/>
            <w:hideMark/>
          </w:tcPr>
          <w:p w14:paraId="5A08EBB7"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1,57</w:t>
            </w:r>
          </w:p>
        </w:tc>
        <w:tc>
          <w:tcPr>
            <w:tcW w:w="924" w:type="dxa"/>
            <w:tcBorders>
              <w:top w:val="nil"/>
              <w:left w:val="nil"/>
              <w:bottom w:val="nil"/>
              <w:right w:val="single" w:sz="4" w:space="0" w:color="000000"/>
            </w:tcBorders>
            <w:noWrap/>
            <w:vAlign w:val="bottom"/>
            <w:hideMark/>
          </w:tcPr>
          <w:p w14:paraId="2347A3AC"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188,02</w:t>
            </w:r>
          </w:p>
        </w:tc>
      </w:tr>
      <w:tr w:rsidR="0030137E" w:rsidRPr="00DC1E64" w14:paraId="1BC61D1E" w14:textId="77777777" w:rsidTr="00DC1E64">
        <w:trPr>
          <w:trHeight w:val="248"/>
        </w:trPr>
        <w:tc>
          <w:tcPr>
            <w:tcW w:w="1575" w:type="dxa"/>
            <w:tcBorders>
              <w:top w:val="nil"/>
              <w:left w:val="single" w:sz="4" w:space="0" w:color="000000"/>
              <w:bottom w:val="nil"/>
              <w:right w:val="single" w:sz="4" w:space="0" w:color="000000"/>
            </w:tcBorders>
            <w:noWrap/>
            <w:vAlign w:val="bottom"/>
            <w:hideMark/>
          </w:tcPr>
          <w:p w14:paraId="6643CAA9"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2017</w:t>
            </w:r>
          </w:p>
        </w:tc>
        <w:tc>
          <w:tcPr>
            <w:tcW w:w="1373" w:type="dxa"/>
            <w:tcBorders>
              <w:top w:val="nil"/>
              <w:left w:val="nil"/>
              <w:bottom w:val="nil"/>
              <w:right w:val="nil"/>
            </w:tcBorders>
            <w:noWrap/>
            <w:vAlign w:val="bottom"/>
            <w:hideMark/>
          </w:tcPr>
          <w:p w14:paraId="51C2A1BD"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51,54</w:t>
            </w:r>
          </w:p>
        </w:tc>
        <w:tc>
          <w:tcPr>
            <w:tcW w:w="1070" w:type="dxa"/>
            <w:tcBorders>
              <w:top w:val="nil"/>
              <w:left w:val="nil"/>
              <w:bottom w:val="nil"/>
              <w:right w:val="nil"/>
            </w:tcBorders>
            <w:noWrap/>
            <w:vAlign w:val="bottom"/>
            <w:hideMark/>
          </w:tcPr>
          <w:p w14:paraId="32C3C287"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40,04</w:t>
            </w:r>
          </w:p>
        </w:tc>
        <w:tc>
          <w:tcPr>
            <w:tcW w:w="1201" w:type="dxa"/>
            <w:tcBorders>
              <w:top w:val="nil"/>
              <w:left w:val="nil"/>
              <w:bottom w:val="nil"/>
              <w:right w:val="nil"/>
            </w:tcBorders>
            <w:noWrap/>
            <w:vAlign w:val="bottom"/>
            <w:hideMark/>
          </w:tcPr>
          <w:p w14:paraId="1B0A79FB"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28,12</w:t>
            </w:r>
          </w:p>
        </w:tc>
        <w:tc>
          <w:tcPr>
            <w:tcW w:w="1419" w:type="dxa"/>
            <w:tcBorders>
              <w:top w:val="nil"/>
              <w:left w:val="nil"/>
              <w:bottom w:val="nil"/>
              <w:right w:val="nil"/>
            </w:tcBorders>
            <w:noWrap/>
            <w:vAlign w:val="bottom"/>
            <w:hideMark/>
          </w:tcPr>
          <w:p w14:paraId="7BF649DA"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17,44</w:t>
            </w:r>
          </w:p>
        </w:tc>
        <w:tc>
          <w:tcPr>
            <w:tcW w:w="1419" w:type="dxa"/>
            <w:tcBorders>
              <w:top w:val="nil"/>
              <w:left w:val="nil"/>
              <w:bottom w:val="nil"/>
              <w:right w:val="nil"/>
            </w:tcBorders>
            <w:noWrap/>
            <w:vAlign w:val="bottom"/>
            <w:hideMark/>
          </w:tcPr>
          <w:p w14:paraId="327C2ED3"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24,49</w:t>
            </w:r>
          </w:p>
        </w:tc>
        <w:tc>
          <w:tcPr>
            <w:tcW w:w="1855" w:type="dxa"/>
            <w:tcBorders>
              <w:top w:val="nil"/>
              <w:left w:val="nil"/>
              <w:bottom w:val="nil"/>
              <w:right w:val="nil"/>
            </w:tcBorders>
            <w:noWrap/>
            <w:vAlign w:val="bottom"/>
            <w:hideMark/>
          </w:tcPr>
          <w:p w14:paraId="611D2D97"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0,00</w:t>
            </w:r>
          </w:p>
        </w:tc>
        <w:tc>
          <w:tcPr>
            <w:tcW w:w="924" w:type="dxa"/>
            <w:tcBorders>
              <w:top w:val="nil"/>
              <w:left w:val="nil"/>
              <w:bottom w:val="nil"/>
              <w:right w:val="single" w:sz="4" w:space="0" w:color="000000"/>
            </w:tcBorders>
            <w:noWrap/>
            <w:vAlign w:val="bottom"/>
            <w:hideMark/>
          </w:tcPr>
          <w:p w14:paraId="376AEAFF"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161,63</w:t>
            </w:r>
          </w:p>
        </w:tc>
      </w:tr>
      <w:tr w:rsidR="0030137E" w:rsidRPr="00DC1E64" w14:paraId="0D7735C2" w14:textId="77777777" w:rsidTr="00DC1E64">
        <w:trPr>
          <w:trHeight w:val="248"/>
        </w:trPr>
        <w:tc>
          <w:tcPr>
            <w:tcW w:w="1575" w:type="dxa"/>
            <w:tcBorders>
              <w:top w:val="nil"/>
              <w:left w:val="single" w:sz="4" w:space="0" w:color="000000"/>
              <w:bottom w:val="nil"/>
              <w:right w:val="single" w:sz="4" w:space="0" w:color="000000"/>
            </w:tcBorders>
            <w:noWrap/>
            <w:vAlign w:val="bottom"/>
            <w:hideMark/>
          </w:tcPr>
          <w:p w14:paraId="1A57D1A1"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2018</w:t>
            </w:r>
          </w:p>
        </w:tc>
        <w:tc>
          <w:tcPr>
            <w:tcW w:w="1373" w:type="dxa"/>
            <w:tcBorders>
              <w:top w:val="nil"/>
              <w:left w:val="nil"/>
              <w:bottom w:val="nil"/>
              <w:right w:val="nil"/>
            </w:tcBorders>
            <w:noWrap/>
            <w:vAlign w:val="bottom"/>
            <w:hideMark/>
          </w:tcPr>
          <w:p w14:paraId="3611DD23"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26,71</w:t>
            </w:r>
          </w:p>
        </w:tc>
        <w:tc>
          <w:tcPr>
            <w:tcW w:w="1070" w:type="dxa"/>
            <w:tcBorders>
              <w:top w:val="nil"/>
              <w:left w:val="nil"/>
              <w:bottom w:val="nil"/>
              <w:right w:val="nil"/>
            </w:tcBorders>
            <w:noWrap/>
            <w:vAlign w:val="bottom"/>
            <w:hideMark/>
          </w:tcPr>
          <w:p w14:paraId="665D64C6"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18,76</w:t>
            </w:r>
          </w:p>
        </w:tc>
        <w:tc>
          <w:tcPr>
            <w:tcW w:w="1201" w:type="dxa"/>
            <w:tcBorders>
              <w:top w:val="nil"/>
              <w:left w:val="nil"/>
              <w:bottom w:val="nil"/>
              <w:right w:val="nil"/>
            </w:tcBorders>
            <w:noWrap/>
            <w:vAlign w:val="bottom"/>
            <w:hideMark/>
          </w:tcPr>
          <w:p w14:paraId="27EFF0B3"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35,15</w:t>
            </w:r>
          </w:p>
        </w:tc>
        <w:tc>
          <w:tcPr>
            <w:tcW w:w="1419" w:type="dxa"/>
            <w:tcBorders>
              <w:top w:val="nil"/>
              <w:left w:val="nil"/>
              <w:bottom w:val="nil"/>
              <w:right w:val="nil"/>
            </w:tcBorders>
            <w:noWrap/>
            <w:vAlign w:val="bottom"/>
            <w:hideMark/>
          </w:tcPr>
          <w:p w14:paraId="3AF1C4AA"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12,38</w:t>
            </w:r>
          </w:p>
        </w:tc>
        <w:tc>
          <w:tcPr>
            <w:tcW w:w="1419" w:type="dxa"/>
            <w:tcBorders>
              <w:top w:val="nil"/>
              <w:left w:val="nil"/>
              <w:bottom w:val="nil"/>
              <w:right w:val="nil"/>
            </w:tcBorders>
            <w:noWrap/>
            <w:vAlign w:val="bottom"/>
            <w:hideMark/>
          </w:tcPr>
          <w:p w14:paraId="68128C17"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12,44</w:t>
            </w:r>
          </w:p>
        </w:tc>
        <w:tc>
          <w:tcPr>
            <w:tcW w:w="1855" w:type="dxa"/>
            <w:tcBorders>
              <w:top w:val="nil"/>
              <w:left w:val="nil"/>
              <w:bottom w:val="nil"/>
              <w:right w:val="nil"/>
            </w:tcBorders>
            <w:noWrap/>
            <w:vAlign w:val="bottom"/>
            <w:hideMark/>
          </w:tcPr>
          <w:p w14:paraId="2A95427F"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2,58</w:t>
            </w:r>
          </w:p>
        </w:tc>
        <w:tc>
          <w:tcPr>
            <w:tcW w:w="924" w:type="dxa"/>
            <w:tcBorders>
              <w:top w:val="nil"/>
              <w:left w:val="nil"/>
              <w:bottom w:val="nil"/>
              <w:right w:val="single" w:sz="4" w:space="0" w:color="000000"/>
            </w:tcBorders>
            <w:noWrap/>
            <w:vAlign w:val="bottom"/>
            <w:hideMark/>
          </w:tcPr>
          <w:p w14:paraId="3B24CA71"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108,02</w:t>
            </w:r>
          </w:p>
        </w:tc>
      </w:tr>
      <w:tr w:rsidR="0030137E" w:rsidRPr="00DC1E64" w14:paraId="012B7FF5" w14:textId="77777777" w:rsidTr="00DC1E64">
        <w:trPr>
          <w:trHeight w:val="248"/>
        </w:trPr>
        <w:tc>
          <w:tcPr>
            <w:tcW w:w="1575" w:type="dxa"/>
            <w:tcBorders>
              <w:top w:val="nil"/>
              <w:left w:val="single" w:sz="4" w:space="0" w:color="000000"/>
              <w:bottom w:val="nil"/>
              <w:right w:val="single" w:sz="4" w:space="0" w:color="000000"/>
            </w:tcBorders>
            <w:noWrap/>
            <w:vAlign w:val="bottom"/>
            <w:hideMark/>
          </w:tcPr>
          <w:p w14:paraId="31560BC0"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2019</w:t>
            </w:r>
          </w:p>
        </w:tc>
        <w:tc>
          <w:tcPr>
            <w:tcW w:w="1373" w:type="dxa"/>
            <w:tcBorders>
              <w:top w:val="nil"/>
              <w:left w:val="nil"/>
              <w:bottom w:val="nil"/>
              <w:right w:val="nil"/>
            </w:tcBorders>
            <w:noWrap/>
            <w:vAlign w:val="bottom"/>
            <w:hideMark/>
          </w:tcPr>
          <w:p w14:paraId="4D0D8809"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20,95</w:t>
            </w:r>
          </w:p>
        </w:tc>
        <w:tc>
          <w:tcPr>
            <w:tcW w:w="1070" w:type="dxa"/>
            <w:tcBorders>
              <w:top w:val="nil"/>
              <w:left w:val="nil"/>
              <w:bottom w:val="nil"/>
              <w:right w:val="nil"/>
            </w:tcBorders>
            <w:noWrap/>
            <w:vAlign w:val="bottom"/>
            <w:hideMark/>
          </w:tcPr>
          <w:p w14:paraId="1B289F75"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13,17</w:t>
            </w:r>
          </w:p>
        </w:tc>
        <w:tc>
          <w:tcPr>
            <w:tcW w:w="1201" w:type="dxa"/>
            <w:tcBorders>
              <w:top w:val="nil"/>
              <w:left w:val="nil"/>
              <w:bottom w:val="nil"/>
              <w:right w:val="nil"/>
            </w:tcBorders>
            <w:noWrap/>
            <w:vAlign w:val="bottom"/>
            <w:hideMark/>
          </w:tcPr>
          <w:p w14:paraId="007A0B59"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48,46</w:t>
            </w:r>
          </w:p>
        </w:tc>
        <w:tc>
          <w:tcPr>
            <w:tcW w:w="1419" w:type="dxa"/>
            <w:tcBorders>
              <w:top w:val="nil"/>
              <w:left w:val="nil"/>
              <w:bottom w:val="nil"/>
              <w:right w:val="nil"/>
            </w:tcBorders>
            <w:noWrap/>
            <w:vAlign w:val="bottom"/>
            <w:hideMark/>
          </w:tcPr>
          <w:p w14:paraId="6511FF84"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44,94</w:t>
            </w:r>
          </w:p>
        </w:tc>
        <w:tc>
          <w:tcPr>
            <w:tcW w:w="1419" w:type="dxa"/>
            <w:tcBorders>
              <w:top w:val="nil"/>
              <w:left w:val="nil"/>
              <w:bottom w:val="nil"/>
              <w:right w:val="nil"/>
            </w:tcBorders>
            <w:noWrap/>
            <w:vAlign w:val="bottom"/>
            <w:hideMark/>
          </w:tcPr>
          <w:p w14:paraId="7E844EE8"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21,33</w:t>
            </w:r>
          </w:p>
        </w:tc>
        <w:tc>
          <w:tcPr>
            <w:tcW w:w="1855" w:type="dxa"/>
            <w:tcBorders>
              <w:top w:val="nil"/>
              <w:left w:val="nil"/>
              <w:bottom w:val="nil"/>
              <w:right w:val="nil"/>
            </w:tcBorders>
            <w:noWrap/>
            <w:vAlign w:val="bottom"/>
            <w:hideMark/>
          </w:tcPr>
          <w:p w14:paraId="34D40B6D"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11,85</w:t>
            </w:r>
          </w:p>
        </w:tc>
        <w:tc>
          <w:tcPr>
            <w:tcW w:w="924" w:type="dxa"/>
            <w:tcBorders>
              <w:top w:val="nil"/>
              <w:left w:val="nil"/>
              <w:bottom w:val="nil"/>
              <w:right w:val="single" w:sz="4" w:space="0" w:color="000000"/>
            </w:tcBorders>
            <w:noWrap/>
            <w:vAlign w:val="bottom"/>
            <w:hideMark/>
          </w:tcPr>
          <w:p w14:paraId="45C712DD"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160,70</w:t>
            </w:r>
          </w:p>
        </w:tc>
      </w:tr>
      <w:tr w:rsidR="0030137E" w:rsidRPr="00DC1E64" w14:paraId="5F954C4C" w14:textId="77777777" w:rsidTr="00DC1E64">
        <w:trPr>
          <w:trHeight w:val="248"/>
        </w:trPr>
        <w:tc>
          <w:tcPr>
            <w:tcW w:w="1575" w:type="dxa"/>
            <w:tcBorders>
              <w:top w:val="nil"/>
              <w:left w:val="single" w:sz="4" w:space="0" w:color="000000"/>
              <w:bottom w:val="single" w:sz="4" w:space="0" w:color="000000"/>
              <w:right w:val="single" w:sz="4" w:space="0" w:color="000000"/>
            </w:tcBorders>
            <w:noWrap/>
            <w:vAlign w:val="bottom"/>
          </w:tcPr>
          <w:p w14:paraId="7CD87B0B"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2020</w:t>
            </w:r>
          </w:p>
        </w:tc>
        <w:tc>
          <w:tcPr>
            <w:tcW w:w="1373" w:type="dxa"/>
            <w:tcBorders>
              <w:top w:val="nil"/>
              <w:left w:val="nil"/>
              <w:bottom w:val="single" w:sz="4" w:space="0" w:color="000000"/>
              <w:right w:val="nil"/>
            </w:tcBorders>
            <w:noWrap/>
            <w:vAlign w:val="bottom"/>
          </w:tcPr>
          <w:p w14:paraId="17F5592C"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32,65</w:t>
            </w:r>
          </w:p>
        </w:tc>
        <w:tc>
          <w:tcPr>
            <w:tcW w:w="1070" w:type="dxa"/>
            <w:tcBorders>
              <w:top w:val="nil"/>
              <w:left w:val="nil"/>
              <w:bottom w:val="single" w:sz="4" w:space="0" w:color="000000"/>
              <w:right w:val="nil"/>
            </w:tcBorders>
            <w:noWrap/>
            <w:vAlign w:val="bottom"/>
          </w:tcPr>
          <w:p w14:paraId="3A6ABBE2"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33,31</w:t>
            </w:r>
          </w:p>
        </w:tc>
        <w:tc>
          <w:tcPr>
            <w:tcW w:w="1201" w:type="dxa"/>
            <w:tcBorders>
              <w:top w:val="nil"/>
              <w:left w:val="nil"/>
              <w:bottom w:val="single" w:sz="4" w:space="0" w:color="000000"/>
              <w:right w:val="nil"/>
            </w:tcBorders>
            <w:noWrap/>
            <w:vAlign w:val="bottom"/>
          </w:tcPr>
          <w:p w14:paraId="2BB6B135"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34,16</w:t>
            </w:r>
          </w:p>
        </w:tc>
        <w:tc>
          <w:tcPr>
            <w:tcW w:w="1419" w:type="dxa"/>
            <w:tcBorders>
              <w:top w:val="nil"/>
              <w:left w:val="nil"/>
              <w:bottom w:val="single" w:sz="4" w:space="0" w:color="000000"/>
              <w:right w:val="nil"/>
            </w:tcBorders>
            <w:noWrap/>
            <w:vAlign w:val="bottom"/>
          </w:tcPr>
          <w:p w14:paraId="1AB90B82"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24,70</w:t>
            </w:r>
          </w:p>
        </w:tc>
        <w:tc>
          <w:tcPr>
            <w:tcW w:w="1419" w:type="dxa"/>
            <w:tcBorders>
              <w:top w:val="nil"/>
              <w:left w:val="nil"/>
              <w:bottom w:val="single" w:sz="4" w:space="0" w:color="000000"/>
              <w:right w:val="nil"/>
            </w:tcBorders>
            <w:noWrap/>
            <w:vAlign w:val="bottom"/>
          </w:tcPr>
          <w:p w14:paraId="47FB381E"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56,05</w:t>
            </w:r>
          </w:p>
        </w:tc>
        <w:tc>
          <w:tcPr>
            <w:tcW w:w="1855" w:type="dxa"/>
            <w:tcBorders>
              <w:top w:val="nil"/>
              <w:left w:val="nil"/>
              <w:bottom w:val="single" w:sz="4" w:space="0" w:color="000000"/>
              <w:right w:val="nil"/>
            </w:tcBorders>
            <w:noWrap/>
            <w:vAlign w:val="bottom"/>
          </w:tcPr>
          <w:p w14:paraId="0BA4B217" w14:textId="77777777" w:rsidR="0030137E" w:rsidRPr="00DC1E64" w:rsidRDefault="0030137E" w:rsidP="00DC1E64">
            <w:pPr>
              <w:jc w:val="right"/>
              <w:rPr>
                <w:rFonts w:ascii="Verdana" w:hAnsi="Verdana" w:cs="Calibri"/>
                <w:color w:val="000000"/>
                <w:sz w:val="20"/>
                <w:lang w:val="nl-BE" w:eastAsia="nl-BE"/>
              </w:rPr>
            </w:pPr>
            <w:r w:rsidRPr="00DC1E64">
              <w:rPr>
                <w:rFonts w:ascii="Verdana" w:hAnsi="Verdana" w:cs="Calibri"/>
                <w:color w:val="000000"/>
                <w:sz w:val="20"/>
                <w:lang w:val="nl-BE" w:eastAsia="nl-BE"/>
              </w:rPr>
              <w:t>11,00</w:t>
            </w:r>
          </w:p>
        </w:tc>
        <w:tc>
          <w:tcPr>
            <w:tcW w:w="924" w:type="dxa"/>
            <w:tcBorders>
              <w:top w:val="nil"/>
              <w:left w:val="nil"/>
              <w:bottom w:val="single" w:sz="4" w:space="0" w:color="000000"/>
              <w:right w:val="single" w:sz="4" w:space="0" w:color="000000"/>
            </w:tcBorders>
            <w:noWrap/>
            <w:vAlign w:val="bottom"/>
          </w:tcPr>
          <w:p w14:paraId="4850D201" w14:textId="77777777" w:rsidR="0030137E" w:rsidRPr="00DC1E64" w:rsidRDefault="0030137E" w:rsidP="00DC1E64">
            <w:pPr>
              <w:jc w:val="right"/>
              <w:rPr>
                <w:rFonts w:ascii="Verdana" w:hAnsi="Verdana" w:cs="Calibri"/>
                <w:b/>
                <w:bCs/>
                <w:color w:val="000000"/>
                <w:sz w:val="20"/>
                <w:lang w:val="nl-BE" w:eastAsia="nl-BE"/>
              </w:rPr>
            </w:pPr>
            <w:r w:rsidRPr="00DC1E64">
              <w:rPr>
                <w:rFonts w:ascii="Verdana" w:hAnsi="Verdana" w:cs="Calibri"/>
                <w:b/>
                <w:bCs/>
                <w:color w:val="000000"/>
                <w:sz w:val="20"/>
                <w:lang w:val="nl-BE" w:eastAsia="nl-BE"/>
              </w:rPr>
              <w:t>191,87</w:t>
            </w:r>
          </w:p>
        </w:tc>
      </w:tr>
    </w:tbl>
    <w:p w14:paraId="7D9CFAF0" w14:textId="77777777" w:rsidR="0030137E" w:rsidRPr="00DC1E64" w:rsidRDefault="0030137E" w:rsidP="00DC1E64">
      <w:pPr>
        <w:pStyle w:val="Nummering"/>
        <w:numPr>
          <w:ilvl w:val="0"/>
          <w:numId w:val="0"/>
        </w:numPr>
        <w:spacing w:after="0"/>
        <w:ind w:left="425"/>
        <w:rPr>
          <w:rFonts w:eastAsia="Verdana"/>
          <w:color w:val="FF0000"/>
          <w:szCs w:val="20"/>
          <w:lang w:val="nl-BE"/>
        </w:rPr>
      </w:pPr>
    </w:p>
    <w:p w14:paraId="0A53C8A5" w14:textId="0BDFC5C5" w:rsidR="0030137E" w:rsidRPr="00DC1E64" w:rsidRDefault="0030137E" w:rsidP="00DC1E64">
      <w:pPr>
        <w:pStyle w:val="Nummering"/>
        <w:numPr>
          <w:ilvl w:val="0"/>
          <w:numId w:val="10"/>
        </w:numPr>
        <w:spacing w:after="0"/>
        <w:ind w:left="426"/>
        <w:rPr>
          <w:rFonts w:eastAsia="Verdana"/>
          <w:szCs w:val="20"/>
          <w:lang w:val="nl-BE"/>
        </w:rPr>
      </w:pPr>
      <w:r w:rsidRPr="00DC1E64">
        <w:rPr>
          <w:rFonts w:eastAsia="Verdana"/>
          <w:szCs w:val="20"/>
          <w:lang w:val="nl-BE"/>
        </w:rPr>
        <w:t xml:space="preserve">Voor een overzicht per traject verwijs ik u graag door naar het </w:t>
      </w:r>
      <w:proofErr w:type="spellStart"/>
      <w:r w:rsidRPr="00DC1E64">
        <w:rPr>
          <w:rFonts w:eastAsia="Verdana"/>
          <w:szCs w:val="20"/>
          <w:lang w:val="nl-BE"/>
        </w:rPr>
        <w:t>geoloket</w:t>
      </w:r>
      <w:proofErr w:type="spellEnd"/>
      <w:r w:rsidRPr="00DC1E64">
        <w:rPr>
          <w:rFonts w:eastAsia="Verdana"/>
          <w:szCs w:val="20"/>
          <w:lang w:val="nl-BE"/>
        </w:rPr>
        <w:t xml:space="preserve"> Fiets, waar de conformiteit van de fietssnelwegen in kaartvorm te raadplegen is. Toegang tot het </w:t>
      </w:r>
      <w:proofErr w:type="spellStart"/>
      <w:r w:rsidRPr="00DC1E64">
        <w:rPr>
          <w:rFonts w:eastAsia="Verdana"/>
          <w:szCs w:val="20"/>
          <w:lang w:val="nl-BE"/>
        </w:rPr>
        <w:t>geoloket</w:t>
      </w:r>
      <w:proofErr w:type="spellEnd"/>
      <w:r w:rsidRPr="00DC1E64">
        <w:rPr>
          <w:rFonts w:eastAsia="Verdana"/>
          <w:szCs w:val="20"/>
          <w:lang w:val="nl-BE"/>
        </w:rPr>
        <w:t xml:space="preserve"> Fiets kan aangevraagd worden via mijn administratie. Daarnaast heeft mijn administratie ook de ambitie om deze kaarten publiek beschikbaar te maken via </w:t>
      </w:r>
      <w:hyperlink r:id="rId10" w:history="1">
        <w:r w:rsidRPr="00DC1E64">
          <w:rPr>
            <w:rStyle w:val="Hyperlink"/>
            <w:rFonts w:eastAsia="Verdana"/>
            <w:szCs w:val="20"/>
            <w:lang w:val="nl-BE"/>
          </w:rPr>
          <w:t>www.geopunt.be</w:t>
        </w:r>
      </w:hyperlink>
      <w:r w:rsidRPr="00DC1E64">
        <w:rPr>
          <w:rFonts w:eastAsia="Verdana"/>
          <w:szCs w:val="20"/>
          <w:lang w:val="nl-BE"/>
        </w:rPr>
        <w:t xml:space="preserve">. Deze kaarten zullen op deze website gepubliceerd worden zodra de data van de provincie Antwerpen verwerkt is. </w:t>
      </w:r>
    </w:p>
    <w:p w14:paraId="22B2D895" w14:textId="77777777" w:rsidR="00520279" w:rsidRPr="00DC1E64" w:rsidRDefault="00520279" w:rsidP="00DC1E64">
      <w:pPr>
        <w:pStyle w:val="Nummering"/>
        <w:numPr>
          <w:ilvl w:val="0"/>
          <w:numId w:val="0"/>
        </w:numPr>
        <w:spacing w:after="0"/>
        <w:ind w:left="426"/>
        <w:rPr>
          <w:rFonts w:eastAsia="Verdana"/>
          <w:szCs w:val="20"/>
          <w:lang w:val="nl-BE"/>
        </w:rPr>
      </w:pPr>
    </w:p>
    <w:p w14:paraId="4B45145E" w14:textId="269FEDF5" w:rsidR="0030137E" w:rsidRPr="00DC1E64" w:rsidRDefault="0030137E" w:rsidP="00DC1E64">
      <w:pPr>
        <w:pStyle w:val="Nummering"/>
        <w:numPr>
          <w:ilvl w:val="0"/>
          <w:numId w:val="10"/>
        </w:numPr>
        <w:spacing w:after="0"/>
        <w:ind w:left="426"/>
        <w:rPr>
          <w:rFonts w:eastAsia="Verdana"/>
          <w:szCs w:val="20"/>
          <w:lang w:val="nl-BE"/>
        </w:rPr>
      </w:pPr>
      <w:r w:rsidRPr="00DC1E64">
        <w:rPr>
          <w:rFonts w:eastAsia="Verdana"/>
          <w:szCs w:val="20"/>
          <w:lang w:val="nl-BE"/>
        </w:rPr>
        <w:t>Het ontwerp GIP 2022 is momenteel nog in voorbereiding. Dit zal eind oktober finaal zijn als de begroting wordt ingediend. In november mag de doorkijk ‘GIP 2023-2024’ verwacht worden. Aan de administratie wordt gevraagd om bij elk project ook aan te geven met hoeveel kilometer fietspad dit overeenstemt en of het een fietssnelweg of overige route op het bovenlokaal functioneel fietsroutenetwerk betreft. Wat betreft de fietsfondsdossiers maken de provincies een overzicht op van projecten die zullen ingediend worden als fietsfondsdossier. Dit overzicht werd opgevraagd bij de provincies maar ik heb deze nog niet allemaal ontvangen.</w:t>
      </w:r>
    </w:p>
    <w:p w14:paraId="60788DAB" w14:textId="77777777" w:rsidR="00520279" w:rsidRPr="00DC1E64" w:rsidRDefault="00520279" w:rsidP="00DC1E64">
      <w:pPr>
        <w:pStyle w:val="Nummering"/>
        <w:numPr>
          <w:ilvl w:val="0"/>
          <w:numId w:val="0"/>
        </w:numPr>
        <w:spacing w:after="0"/>
        <w:ind w:left="426"/>
        <w:rPr>
          <w:rFonts w:eastAsia="Verdana"/>
          <w:szCs w:val="20"/>
          <w:lang w:val="nl-BE"/>
        </w:rPr>
      </w:pPr>
    </w:p>
    <w:p w14:paraId="342B3D5B" w14:textId="4ED816DA" w:rsidR="0030137E" w:rsidRPr="00DC1E64" w:rsidRDefault="0030137E" w:rsidP="00DC1E64">
      <w:pPr>
        <w:pStyle w:val="Nummering"/>
        <w:numPr>
          <w:ilvl w:val="0"/>
          <w:numId w:val="10"/>
        </w:numPr>
        <w:tabs>
          <w:tab w:val="left" w:pos="4631"/>
        </w:tabs>
        <w:spacing w:after="0"/>
        <w:ind w:left="426"/>
        <w:rPr>
          <w:rFonts w:eastAsia="Verdana"/>
          <w:szCs w:val="20"/>
          <w:lang w:val="nl-BE"/>
        </w:rPr>
      </w:pPr>
      <w:r w:rsidRPr="00DC1E64">
        <w:rPr>
          <w:rFonts w:eastAsia="Verdana"/>
          <w:szCs w:val="20"/>
          <w:lang w:val="nl-BE"/>
        </w:rPr>
        <w:t xml:space="preserve">Voor het antwoord op deze vraag verwijs ik opnieuw naar mijn antwoord op uw eerdere vraag nr. 967 van 13 juni 2020. Ik heb vandaag geen nieuwe status over de uitrol van de signalisatie per provincie, maar dit wordt opgenomen in het ‘overleg fietssnelwegen’ dat mijn administratie heeft met de vijf provincies.  </w:t>
      </w:r>
    </w:p>
    <w:p w14:paraId="52F17A1E" w14:textId="77777777" w:rsidR="00F90D1D" w:rsidRPr="00DC1E64" w:rsidRDefault="00F90D1D" w:rsidP="00DC1E64">
      <w:pPr>
        <w:pStyle w:val="Nummering"/>
        <w:numPr>
          <w:ilvl w:val="0"/>
          <w:numId w:val="0"/>
        </w:numPr>
        <w:tabs>
          <w:tab w:val="left" w:pos="4631"/>
        </w:tabs>
        <w:spacing w:after="0"/>
        <w:rPr>
          <w:rFonts w:eastAsia="Verdana"/>
          <w:szCs w:val="20"/>
          <w:lang w:val="nl-BE"/>
        </w:rPr>
      </w:pPr>
    </w:p>
    <w:p w14:paraId="79DD926A" w14:textId="4ED11FDA" w:rsidR="0030137E" w:rsidRPr="00DC1E64" w:rsidRDefault="0030137E" w:rsidP="00DC1E64">
      <w:pPr>
        <w:pStyle w:val="Nummering"/>
        <w:numPr>
          <w:ilvl w:val="0"/>
          <w:numId w:val="10"/>
        </w:numPr>
        <w:tabs>
          <w:tab w:val="left" w:pos="4631"/>
        </w:tabs>
        <w:spacing w:after="0"/>
        <w:ind w:left="426"/>
        <w:rPr>
          <w:rFonts w:eastAsia="Verdana"/>
          <w:szCs w:val="20"/>
          <w:lang w:val="nl-BE"/>
        </w:rPr>
      </w:pPr>
      <w:r w:rsidRPr="00DC1E64">
        <w:rPr>
          <w:szCs w:val="20"/>
          <w:lang w:val="nl-BE"/>
        </w:rPr>
        <w:lastRenderedPageBreak/>
        <w:t xml:space="preserve">Voor de herziening van het MB van 15 maart 2018 zijn momenteel de besprekingen gaande. Hierbij wordt ook rekening gehouden met de plannen in Nederland, Brussel en Wallonië. Daarnaast vindt er eveneens regelmatig overleg plaats </w:t>
      </w:r>
      <w:r w:rsidRPr="00DC1E64">
        <w:rPr>
          <w:iCs/>
          <w:szCs w:val="20"/>
          <w:lang w:val="nl-BE"/>
        </w:rPr>
        <w:t xml:space="preserve">omtrent gewest- of grensoverschrijdende fietssnelwegen via de </w:t>
      </w:r>
      <w:proofErr w:type="spellStart"/>
      <w:r w:rsidRPr="00DC1E64">
        <w:rPr>
          <w:iCs/>
          <w:szCs w:val="20"/>
          <w:lang w:val="nl-BE"/>
        </w:rPr>
        <w:t>FietsGEN</w:t>
      </w:r>
      <w:proofErr w:type="spellEnd"/>
      <w:r w:rsidRPr="00DC1E64">
        <w:rPr>
          <w:iCs/>
          <w:szCs w:val="20"/>
          <w:lang w:val="nl-BE"/>
        </w:rPr>
        <w:t>-stuurgroep, overleg met het Waalse gewest en het Benelux-overleg.</w:t>
      </w:r>
    </w:p>
    <w:p w14:paraId="47BFDD77" w14:textId="77777777" w:rsidR="00520279" w:rsidRPr="00DC1E64" w:rsidRDefault="00520279" w:rsidP="00DC1E64">
      <w:pPr>
        <w:pStyle w:val="Nummering"/>
        <w:numPr>
          <w:ilvl w:val="0"/>
          <w:numId w:val="0"/>
        </w:numPr>
        <w:tabs>
          <w:tab w:val="left" w:pos="4631"/>
        </w:tabs>
        <w:spacing w:after="0"/>
        <w:ind w:left="426"/>
        <w:rPr>
          <w:rFonts w:eastAsia="Verdana"/>
          <w:szCs w:val="20"/>
          <w:lang w:val="nl-BE"/>
        </w:rPr>
      </w:pPr>
    </w:p>
    <w:p w14:paraId="4446DBDA" w14:textId="4DC2A0D8" w:rsidR="0030137E" w:rsidRPr="00DC1E64" w:rsidRDefault="0030137E" w:rsidP="00DC1E64">
      <w:pPr>
        <w:pStyle w:val="Nummering"/>
        <w:numPr>
          <w:ilvl w:val="0"/>
          <w:numId w:val="10"/>
        </w:numPr>
        <w:tabs>
          <w:tab w:val="left" w:pos="4631"/>
        </w:tabs>
        <w:spacing w:after="0"/>
        <w:ind w:left="426"/>
        <w:rPr>
          <w:rFonts w:eastAsia="Verdana"/>
          <w:szCs w:val="20"/>
          <w:lang w:val="nl-BE"/>
        </w:rPr>
      </w:pPr>
      <w:r w:rsidRPr="00DC1E64">
        <w:rPr>
          <w:rFonts w:eastAsia="Verdana"/>
          <w:szCs w:val="20"/>
          <w:lang w:val="nl-BE"/>
        </w:rPr>
        <w:t>De vervoerregio’s zijn volop bezig met de opmaak van de regionale mobiliteitsplannen, waar ook het fiets(snelwegen)netwerk wordt herbekeken. Daarnaast geven de vervoerregio’s verplicht advies bij elke wijziging die wordt voorgesteld voor fietssnelwegen. De realisatie van fietssnelwegen betreffen projecten die op de projectstuurgroep komen, waar ook de vervoerregio’s (nl. de regionale beleidsmedewerkers MOW) deel van uit maken.</w:t>
      </w:r>
    </w:p>
    <w:p w14:paraId="3EA1589C" w14:textId="77777777" w:rsidR="00520279" w:rsidRPr="00DC1E64" w:rsidRDefault="00520279" w:rsidP="00DC1E64">
      <w:pPr>
        <w:pStyle w:val="Nummering"/>
        <w:numPr>
          <w:ilvl w:val="0"/>
          <w:numId w:val="0"/>
        </w:numPr>
        <w:tabs>
          <w:tab w:val="left" w:pos="4631"/>
        </w:tabs>
        <w:spacing w:after="0"/>
        <w:ind w:left="426"/>
        <w:rPr>
          <w:rFonts w:eastAsia="Verdana"/>
          <w:szCs w:val="20"/>
          <w:lang w:val="nl-BE"/>
        </w:rPr>
      </w:pPr>
    </w:p>
    <w:p w14:paraId="6D6D1109" w14:textId="1EF4ECA8" w:rsidR="0030137E" w:rsidRPr="00DC1E64" w:rsidRDefault="0030137E" w:rsidP="00DC1E64">
      <w:pPr>
        <w:pStyle w:val="Nummering"/>
        <w:numPr>
          <w:ilvl w:val="0"/>
          <w:numId w:val="10"/>
        </w:numPr>
        <w:tabs>
          <w:tab w:val="left" w:pos="4631"/>
        </w:tabs>
        <w:spacing w:after="0"/>
        <w:ind w:left="426"/>
        <w:rPr>
          <w:rFonts w:eastAsia="Verdana"/>
          <w:szCs w:val="20"/>
          <w:lang w:val="nl-BE"/>
        </w:rPr>
      </w:pPr>
      <w:r w:rsidRPr="00DC1E64">
        <w:rPr>
          <w:rFonts w:eastAsia="Verdana"/>
          <w:szCs w:val="20"/>
          <w:lang w:val="nl-BE"/>
        </w:rPr>
        <w:t>De standaardbreedte die op dit moment gehanteerd wordt bij de aanleg van de meest recente tracés is minimum 3 meter, waarbij 4 meter aanbevolen wordt.</w:t>
      </w:r>
      <w:r w:rsidRPr="00DC1E64">
        <w:rPr>
          <w:rFonts w:eastAsia="Verdana"/>
          <w:color w:val="FF0000"/>
          <w:szCs w:val="20"/>
          <w:lang w:val="nl-BE"/>
        </w:rPr>
        <w:t xml:space="preserve"> </w:t>
      </w:r>
    </w:p>
    <w:p w14:paraId="3527AA72" w14:textId="77777777" w:rsidR="00520279" w:rsidRPr="00DC1E64" w:rsidRDefault="00520279" w:rsidP="00DC1E64">
      <w:pPr>
        <w:pStyle w:val="Nummering"/>
        <w:numPr>
          <w:ilvl w:val="0"/>
          <w:numId w:val="0"/>
        </w:numPr>
        <w:tabs>
          <w:tab w:val="left" w:pos="4631"/>
        </w:tabs>
        <w:spacing w:after="0"/>
        <w:ind w:left="426"/>
        <w:rPr>
          <w:rFonts w:eastAsia="Verdana"/>
          <w:szCs w:val="20"/>
          <w:lang w:val="nl-BE"/>
        </w:rPr>
      </w:pPr>
    </w:p>
    <w:p w14:paraId="0C33741E" w14:textId="1F98100A" w:rsidR="0030137E" w:rsidRPr="00DC1E64" w:rsidRDefault="0030137E" w:rsidP="00DC1E64">
      <w:pPr>
        <w:pStyle w:val="Nummering"/>
        <w:numPr>
          <w:ilvl w:val="0"/>
          <w:numId w:val="10"/>
        </w:numPr>
        <w:tabs>
          <w:tab w:val="left" w:pos="4631"/>
        </w:tabs>
        <w:spacing w:after="0"/>
        <w:ind w:left="426"/>
        <w:rPr>
          <w:rFonts w:eastAsia="Verdana"/>
          <w:szCs w:val="20"/>
          <w:lang w:val="nl-BE"/>
        </w:rPr>
      </w:pPr>
      <w:r w:rsidRPr="00DC1E64">
        <w:rPr>
          <w:rFonts w:eastAsia="Verdana"/>
          <w:szCs w:val="20"/>
          <w:lang w:val="nl-BE"/>
        </w:rPr>
        <w:t xml:space="preserve">Voor het antwoord op uw vragen omtrent de F31 en F34 verwijs ik naar mijn antwoord op vraag nr. 1548 waar deze fietssnelwegen worden behandeld. Wat betreft de F38 kan ik meegeven dat de opwaardering gebeurt in het kader van een globale aanpak N8 door AWV. Het vak Veurne is </w:t>
      </w:r>
      <w:proofErr w:type="spellStart"/>
      <w:r w:rsidRPr="00DC1E64">
        <w:rPr>
          <w:rFonts w:eastAsia="Verdana"/>
          <w:szCs w:val="20"/>
          <w:lang w:val="nl-BE"/>
        </w:rPr>
        <w:t>aanbestedingsklaar</w:t>
      </w:r>
      <w:proofErr w:type="spellEnd"/>
      <w:r w:rsidRPr="00DC1E64">
        <w:rPr>
          <w:rFonts w:eastAsia="Verdana"/>
          <w:szCs w:val="20"/>
          <w:lang w:val="nl-BE"/>
        </w:rPr>
        <w:t xml:space="preserve"> en</w:t>
      </w:r>
      <w:r w:rsidR="00E268B0" w:rsidRPr="00DC1E64">
        <w:rPr>
          <w:rFonts w:eastAsia="Verdana"/>
          <w:szCs w:val="20"/>
          <w:lang w:val="nl-BE"/>
        </w:rPr>
        <w:t xml:space="preserve"> voor </w:t>
      </w:r>
      <w:r w:rsidRPr="00DC1E64">
        <w:rPr>
          <w:rFonts w:eastAsia="Verdana"/>
          <w:szCs w:val="20"/>
          <w:lang w:val="nl-BE"/>
        </w:rPr>
        <w:t>het vak Alveringem – Lo-Reninge – Vleteren werd het ontwerp goedgekeurd in de projectstuurgroep.</w:t>
      </w:r>
      <w:r w:rsidRPr="00DC1E64">
        <w:rPr>
          <w:rFonts w:eastAsia="Verdana"/>
          <w:color w:val="FF0000"/>
          <w:szCs w:val="20"/>
          <w:lang w:val="nl-BE"/>
        </w:rPr>
        <w:t xml:space="preserve"> </w:t>
      </w:r>
    </w:p>
    <w:p w14:paraId="137C3473" w14:textId="77777777" w:rsidR="00520279" w:rsidRPr="00DC1E64" w:rsidRDefault="00520279" w:rsidP="00DC1E64">
      <w:pPr>
        <w:pStyle w:val="Nummering"/>
        <w:numPr>
          <w:ilvl w:val="0"/>
          <w:numId w:val="0"/>
        </w:numPr>
        <w:tabs>
          <w:tab w:val="left" w:pos="4631"/>
        </w:tabs>
        <w:spacing w:after="0"/>
        <w:ind w:left="426"/>
        <w:rPr>
          <w:rFonts w:eastAsia="Verdana"/>
          <w:szCs w:val="20"/>
          <w:lang w:val="nl-BE"/>
        </w:rPr>
      </w:pPr>
    </w:p>
    <w:p w14:paraId="20AFB422" w14:textId="7F53E44C" w:rsidR="00060F25" w:rsidRPr="00DC1E64" w:rsidRDefault="0030137E" w:rsidP="00DC1E64">
      <w:pPr>
        <w:pStyle w:val="Nummering"/>
        <w:numPr>
          <w:ilvl w:val="0"/>
          <w:numId w:val="10"/>
        </w:numPr>
        <w:tabs>
          <w:tab w:val="left" w:pos="4631"/>
        </w:tabs>
        <w:spacing w:after="0"/>
        <w:ind w:left="426"/>
        <w:rPr>
          <w:rFonts w:eastAsia="Verdana"/>
          <w:szCs w:val="20"/>
          <w:lang w:val="nl-BE"/>
        </w:rPr>
      </w:pPr>
      <w:r w:rsidRPr="00DC1E64">
        <w:rPr>
          <w:rFonts w:eastAsia="Verdana"/>
          <w:szCs w:val="20"/>
          <w:lang w:val="nl-BE"/>
        </w:rPr>
        <w:t xml:space="preserve">Centrumsteden zijn reeds verbonden met elkaar via het fietssnelwegennetwerk. Bij de opmaak van het netwerk werd hier reeds rekening mee gehouden. Wat betreft internationale fietswegen verwijs ik door naar de </w:t>
      </w:r>
      <w:proofErr w:type="spellStart"/>
      <w:r w:rsidRPr="00DC1E64">
        <w:rPr>
          <w:rFonts w:eastAsia="Verdana"/>
          <w:szCs w:val="20"/>
          <w:lang w:val="nl-BE"/>
        </w:rPr>
        <w:t>EuroVelo</w:t>
      </w:r>
      <w:proofErr w:type="spellEnd"/>
      <w:r w:rsidRPr="00DC1E64">
        <w:rPr>
          <w:rFonts w:eastAsia="Verdana"/>
          <w:szCs w:val="20"/>
          <w:lang w:val="nl-BE"/>
        </w:rPr>
        <w:t xml:space="preserve"> routes (</w:t>
      </w:r>
      <w:hyperlink r:id="rId11" w:history="1">
        <w:r w:rsidRPr="00DC1E64">
          <w:rPr>
            <w:rStyle w:val="Hyperlink"/>
            <w:rFonts w:eastAsia="Verdana"/>
            <w:color w:val="auto"/>
            <w:szCs w:val="20"/>
            <w:lang w:val="nl-BE"/>
          </w:rPr>
          <w:t>https://en.eurovelo.com</w:t>
        </w:r>
      </w:hyperlink>
      <w:r w:rsidRPr="00DC1E64">
        <w:rPr>
          <w:rFonts w:eastAsia="Verdana"/>
          <w:szCs w:val="20"/>
          <w:lang w:val="nl-BE"/>
        </w:rPr>
        <w:t>). Deze routes hebben een gedeeltelijke overlap met het netwerk van fietssnelwegen in Vlaanderen.</w:t>
      </w:r>
      <w:r w:rsidRPr="00DC1E64">
        <w:rPr>
          <w:rFonts w:eastAsia="Verdana"/>
          <w:color w:val="FF0000"/>
          <w:szCs w:val="20"/>
          <w:lang w:val="nl-BE"/>
        </w:rPr>
        <w:t xml:space="preserve"> </w:t>
      </w:r>
    </w:p>
    <w:sectPr w:rsidR="00060F25" w:rsidRPr="00DC1E64"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1426" w14:textId="77777777" w:rsidR="005136D3" w:rsidRDefault="005136D3" w:rsidP="00C90FDF">
      <w:r>
        <w:separator/>
      </w:r>
    </w:p>
  </w:endnote>
  <w:endnote w:type="continuationSeparator" w:id="0">
    <w:p w14:paraId="386FC2B2" w14:textId="77777777" w:rsidR="005136D3" w:rsidRDefault="005136D3" w:rsidP="00C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B03C" w14:textId="77777777" w:rsidR="005136D3" w:rsidRDefault="005136D3" w:rsidP="00C90FDF">
      <w:r>
        <w:separator/>
      </w:r>
    </w:p>
  </w:footnote>
  <w:footnote w:type="continuationSeparator" w:id="0">
    <w:p w14:paraId="2A44F2D1" w14:textId="77777777" w:rsidR="005136D3" w:rsidRDefault="005136D3" w:rsidP="00C9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D956C9C"/>
    <w:multiLevelType w:val="hybridMultilevel"/>
    <w:tmpl w:val="FEA0D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323682"/>
    <w:multiLevelType w:val="multilevel"/>
    <w:tmpl w:val="3D7C3F7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635C9E"/>
    <w:multiLevelType w:val="hybridMultilevel"/>
    <w:tmpl w:val="689ED9BC"/>
    <w:lvl w:ilvl="0" w:tplc="42C25F3A">
      <w:start w:val="4"/>
      <w:numFmt w:val="decimal"/>
      <w:lvlText w:val="%1."/>
      <w:lvlJc w:val="left"/>
      <w:pPr>
        <w:ind w:left="114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75D500F"/>
    <w:multiLevelType w:val="multilevel"/>
    <w:tmpl w:val="14CE9D86"/>
    <w:lvl w:ilvl="0">
      <w:start w:val="2"/>
      <w:numFmt w:val="decimal"/>
      <w:lvlText w:val="%1-"/>
      <w:lvlJc w:val="left"/>
      <w:pPr>
        <w:ind w:left="405" w:hanging="405"/>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1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60F25"/>
    <w:rsid w:val="000C28B3"/>
    <w:rsid w:val="001C6F2D"/>
    <w:rsid w:val="00266954"/>
    <w:rsid w:val="002A3774"/>
    <w:rsid w:val="002B1E2C"/>
    <w:rsid w:val="002C36A3"/>
    <w:rsid w:val="002D54F9"/>
    <w:rsid w:val="002D63DA"/>
    <w:rsid w:val="0030137E"/>
    <w:rsid w:val="003114EC"/>
    <w:rsid w:val="003237F9"/>
    <w:rsid w:val="0043275B"/>
    <w:rsid w:val="00466ADA"/>
    <w:rsid w:val="004A3999"/>
    <w:rsid w:val="004E6C14"/>
    <w:rsid w:val="005136D3"/>
    <w:rsid w:val="00520279"/>
    <w:rsid w:val="00583FD7"/>
    <w:rsid w:val="00595311"/>
    <w:rsid w:val="005F4DB2"/>
    <w:rsid w:val="0064483F"/>
    <w:rsid w:val="00683233"/>
    <w:rsid w:val="006A3D0A"/>
    <w:rsid w:val="00722861"/>
    <w:rsid w:val="007C36E6"/>
    <w:rsid w:val="007D10DD"/>
    <w:rsid w:val="007E5143"/>
    <w:rsid w:val="00892C1B"/>
    <w:rsid w:val="0089707D"/>
    <w:rsid w:val="00897B9E"/>
    <w:rsid w:val="0094138F"/>
    <w:rsid w:val="009513D5"/>
    <w:rsid w:val="00960304"/>
    <w:rsid w:val="009816AE"/>
    <w:rsid w:val="009A0D2B"/>
    <w:rsid w:val="00A122FE"/>
    <w:rsid w:val="00A368AB"/>
    <w:rsid w:val="00B07F83"/>
    <w:rsid w:val="00B305C7"/>
    <w:rsid w:val="00B42767"/>
    <w:rsid w:val="00B653B3"/>
    <w:rsid w:val="00B96AC1"/>
    <w:rsid w:val="00BA0F58"/>
    <w:rsid w:val="00BE1CED"/>
    <w:rsid w:val="00C34476"/>
    <w:rsid w:val="00C51F39"/>
    <w:rsid w:val="00C5459C"/>
    <w:rsid w:val="00C90FDF"/>
    <w:rsid w:val="00C922EE"/>
    <w:rsid w:val="00CE1B4C"/>
    <w:rsid w:val="00CE7894"/>
    <w:rsid w:val="00D2026A"/>
    <w:rsid w:val="00D401FD"/>
    <w:rsid w:val="00D5319A"/>
    <w:rsid w:val="00D644BF"/>
    <w:rsid w:val="00D928A1"/>
    <w:rsid w:val="00DC1E64"/>
    <w:rsid w:val="00DD46AC"/>
    <w:rsid w:val="00E06115"/>
    <w:rsid w:val="00E268B0"/>
    <w:rsid w:val="00E82EC8"/>
    <w:rsid w:val="00EC54F1"/>
    <w:rsid w:val="00ED3C1F"/>
    <w:rsid w:val="00F166F2"/>
    <w:rsid w:val="00F41AC9"/>
    <w:rsid w:val="00F90D1D"/>
    <w:rsid w:val="00FD7018"/>
    <w:rsid w:val="4C31D9F6"/>
    <w:rsid w:val="7F068B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Nummering">
    <w:name w:val="Nummering"/>
    <w:basedOn w:val="Lijstalinea"/>
    <w:link w:val="NummeringChar"/>
    <w:qFormat/>
    <w:rsid w:val="0030137E"/>
    <w:pPr>
      <w:numPr>
        <w:numId w:val="9"/>
      </w:numPr>
      <w:autoSpaceDE/>
      <w:autoSpaceDN/>
      <w:spacing w:after="120"/>
      <w:contextualSpacing w:val="0"/>
      <w:jc w:val="both"/>
    </w:pPr>
    <w:rPr>
      <w:rFonts w:ascii="Verdana" w:hAnsi="Verdana"/>
      <w:sz w:val="20"/>
      <w:lang w:val="en-US"/>
    </w:rPr>
  </w:style>
  <w:style w:type="character" w:customStyle="1" w:styleId="NummeringChar">
    <w:name w:val="Nummering Char"/>
    <w:link w:val="Nummering"/>
    <w:rsid w:val="0030137E"/>
    <w:rPr>
      <w:rFonts w:ascii="Verdana" w:eastAsia="Times New Roman" w:hAnsi="Verdana" w:cs="Times New Roman"/>
      <w:sz w:val="20"/>
      <w:szCs w:val="24"/>
      <w:lang w:val="en-US" w:eastAsia="nl-NL"/>
    </w:rPr>
  </w:style>
  <w:style w:type="character" w:styleId="Hyperlink">
    <w:name w:val="Hyperlink"/>
    <w:basedOn w:val="Standaardalinea-lettertype"/>
    <w:unhideWhenUsed/>
    <w:rsid w:val="00301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eurovelo.com" TargetMode="External"/><Relationship Id="rId5" Type="http://schemas.openxmlformats.org/officeDocument/2006/relationships/styles" Target="styles.xml"/><Relationship Id="rId10" Type="http://schemas.openxmlformats.org/officeDocument/2006/relationships/hyperlink" Target="http://www.geopunt.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C0AF3A07B44D388F9988C819D5031"/>
        <w:category>
          <w:name w:val="Algemeen"/>
          <w:gallery w:val="placeholder"/>
        </w:category>
        <w:types>
          <w:type w:val="bbPlcHdr"/>
        </w:types>
        <w:behaviors>
          <w:behavior w:val="content"/>
        </w:behaviors>
        <w:guid w:val="{7BA0C406-6606-4E45-95E5-5E7C6D9743C9}"/>
      </w:docPartPr>
      <w:docPartBody>
        <w:p w:rsidR="00C548CE" w:rsidRDefault="00D401FD" w:rsidP="00D401FD">
          <w:pPr>
            <w:pStyle w:val="663C0AF3A07B44D388F9988C819D5031"/>
          </w:pPr>
          <w:r w:rsidRPr="00DF5F63">
            <w:rPr>
              <w:rStyle w:val="Tekstvantijdelijkeaanduiding"/>
            </w:rPr>
            <w:t>Klik of tik om tekst in te voeren.</w:t>
          </w:r>
        </w:p>
      </w:docPartBody>
    </w:docPart>
    <w:docPart>
      <w:docPartPr>
        <w:name w:val="E4CDDFF8C7F74392BD310481F1322D7D"/>
        <w:category>
          <w:name w:val="Algemeen"/>
          <w:gallery w:val="placeholder"/>
        </w:category>
        <w:types>
          <w:type w:val="bbPlcHdr"/>
        </w:types>
        <w:behaviors>
          <w:behavior w:val="content"/>
        </w:behaviors>
        <w:guid w:val="{EDB42C8B-4F46-400E-A0FF-88B33563E256}"/>
      </w:docPartPr>
      <w:docPartBody>
        <w:p w:rsidR="00C548CE" w:rsidRDefault="00D401FD" w:rsidP="00D401FD">
          <w:pPr>
            <w:pStyle w:val="E4CDDFF8C7F74392BD310481F1322D7D"/>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75CDB"/>
    <w:rsid w:val="005A638F"/>
    <w:rsid w:val="00754AD7"/>
    <w:rsid w:val="008C661B"/>
    <w:rsid w:val="00A30053"/>
    <w:rsid w:val="00B32EC3"/>
    <w:rsid w:val="00C548CE"/>
    <w:rsid w:val="00D40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01FD"/>
    <w:rPr>
      <w:color w:val="808080"/>
    </w:rPr>
  </w:style>
  <w:style w:type="paragraph" w:customStyle="1" w:styleId="663C0AF3A07B44D388F9988C819D5031">
    <w:name w:val="663C0AF3A07B44D388F9988C819D5031"/>
    <w:rsid w:val="00D401FD"/>
  </w:style>
  <w:style w:type="paragraph" w:customStyle="1" w:styleId="E4CDDFF8C7F74392BD310481F1322D7D">
    <w:name w:val="E4CDDFF8C7F74392BD310481F1322D7D"/>
    <w:rsid w:val="00D40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jabloon SV" ma:contentTypeID="0x0101005B7A0FC130FBD14FB5AE6534A195291500ADF803BEA7C7DE48A472292342469A59" ma:contentTypeVersion="6" ma:contentTypeDescription="" ma:contentTypeScope="" ma:versionID="b828d8320d5454d8edd9ef0ebda976a8">
  <xsd:schema xmlns:xsd="http://www.w3.org/2001/XMLSchema" xmlns:xs="http://www.w3.org/2001/XMLSchema" xmlns:p="http://schemas.microsoft.com/office/2006/metadata/properties" xmlns:ns2="9b51e29f-d062-461f-9360-e22c498a7cb2" xmlns:ns3="d84a67f7-7f92-4c02-8d2f-3a7d2af7cd67" xmlns:ns4="http://schemas.microsoft.com/sharepoint/v3/fields" targetNamespace="http://schemas.microsoft.com/office/2006/metadata/properties" ma:root="true" ma:fieldsID="fdbe5e56845c77e4b5ded86aeff40dc2" ns2:_="" ns3:_="" ns4:_="">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PV_x0020_Toegewezen_x0020_aan" minOccurs="0"/>
                <xsd:element ref="ns3:Status_x0020_document" minOccurs="0"/>
                <xsd:element ref="ns3:Type_x0020_document"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8"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9"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0"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4</PV_x0020_Toegewezen_x0020_aan>
    <_EndDate xmlns="http://schemas.microsoft.com/sharepoint/v3/fields">2021-09-17T00:00:00+00:00</_EndDat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2E727-BA64-4ABE-A949-AA56EA91F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54CDB365-6212-4418-99E7-6A9C2B4B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Company>Vlaams Parlement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subject/>
  <dc:creator>Olivier Cammu</dc:creator>
  <cp:lastModifiedBy>simon martyn</cp:lastModifiedBy>
  <cp:revision>2</cp:revision>
  <cp:lastPrinted>2014-09-23T09:20:00Z</cp:lastPrinted>
  <dcterms:created xsi:type="dcterms:W3CDTF">2021-10-06T12:23:00Z</dcterms:created>
  <dcterms:modified xsi:type="dcterms:W3CDTF">2021-10-06T12:23:00Z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0x0101005B7A0FC130FBD14FB5AE6534A195291500ADF803BEA7C7DE48A472292342469A59</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y fmtid="{D5CDD505-2E9C-101B-9397-08002B2CF9AE}" pid="11" name="Parlementair jaar">
    <vt:lpwstr/>
  </property>
  <property fmtid="{D5CDD505-2E9C-101B-9397-08002B2CF9AE}" pid="12" name="Dossierbehandelaar">
    <vt:lpwstr/>
  </property>
  <property fmtid="{D5CDD505-2E9C-101B-9397-08002B2CF9AE}" pid="13" name="Order">
    <vt:r8>2861200</vt:r8>
  </property>
  <property fmtid="{D5CDD505-2E9C-101B-9397-08002B2CF9AE}" pid="14" name="MOWNrSV">
    <vt:lpwstr/>
  </property>
  <property fmtid="{D5CDD505-2E9C-101B-9397-08002B2CF9AE}" pid="15" name="MOWNrVOU">
    <vt:lpwstr/>
  </property>
  <property fmtid="{D5CDD505-2E9C-101B-9397-08002B2CF9AE}" pid="16" name="xd_Signature">
    <vt:bool>false</vt:bool>
  </property>
  <property fmtid="{D5CDD505-2E9C-101B-9397-08002B2CF9AE}" pid="17" name="xd_ProgID">
    <vt:lpwstr/>
  </property>
  <property fmtid="{D5CDD505-2E9C-101B-9397-08002B2CF9AE}" pid="18" name="DocumentSetDescription">
    <vt:lpwstr/>
  </property>
  <property fmtid="{D5CDD505-2E9C-101B-9397-08002B2CF9AE}" pid="19" name="PV Gecoordineerd door">
    <vt:lpwstr/>
  </property>
  <property fmtid="{D5CDD505-2E9C-101B-9397-08002B2CF9AE}" pid="20" name="ComplianceAssetId">
    <vt:lpwstr/>
  </property>
  <property fmtid="{D5CDD505-2E9C-101B-9397-08002B2CF9AE}" pid="21" name="TemplateUrl">
    <vt:lpwstr/>
  </property>
  <property fmtid="{D5CDD505-2E9C-101B-9397-08002B2CF9AE}" pid="22" name="Commentaar">
    <vt:lpwstr/>
  </property>
  <property fmtid="{D5CDD505-2E9C-101B-9397-08002B2CF9AE}" pid="23" name="Vraag">
    <vt:lpwstr/>
  </property>
  <property fmtid="{D5CDD505-2E9C-101B-9397-08002B2CF9AE}" pid="24" name="PV Vraagsteller">
    <vt:lpwstr/>
  </property>
  <property fmtid="{D5CDD505-2E9C-101B-9397-08002B2CF9AE}" pid="25" name="_ExtendedDescription">
    <vt:lpwstr/>
  </property>
  <property fmtid="{D5CDD505-2E9C-101B-9397-08002B2CF9AE}" pid="26" name="TriggerFlowInfo">
    <vt:lpwstr/>
  </property>
  <property fmtid="{D5CDD505-2E9C-101B-9397-08002B2CF9AE}" pid="27" name="PV Elementen van antwoord door">
    <vt:lpwstr/>
  </property>
</Properties>
</file>