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5E59" w14:textId="77777777" w:rsidR="007E5143" w:rsidRPr="00892BD5" w:rsidRDefault="00637A6F" w:rsidP="007E5143">
      <w:pPr>
        <w:jc w:val="both"/>
        <w:rPr>
          <w:rFonts w:ascii="Verdana" w:hAnsi="Verdana"/>
          <w:smallCaps/>
          <w:sz w:val="20"/>
          <w:lang w:val="nl-BE"/>
        </w:rPr>
      </w:pPr>
      <w:proofErr w:type="spellStart"/>
      <w:r w:rsidRPr="00892BD5">
        <w:rPr>
          <w:rFonts w:ascii="Verdana" w:hAnsi="Verdana"/>
          <w:b/>
          <w:smallCaps/>
          <w:sz w:val="20"/>
          <w:lang w:val="nl-BE"/>
        </w:rPr>
        <w:t>lydia</w:t>
      </w:r>
      <w:proofErr w:type="spellEnd"/>
      <w:r w:rsidRPr="00892BD5">
        <w:rPr>
          <w:rFonts w:ascii="Verdana" w:hAnsi="Verdana"/>
          <w:b/>
          <w:smallCaps/>
          <w:sz w:val="20"/>
          <w:lang w:val="nl-BE"/>
        </w:rPr>
        <w:t xml:space="preserve"> peeters</w:t>
      </w:r>
    </w:p>
    <w:p w14:paraId="499F73EB" w14:textId="77777777" w:rsidR="006A3D0A" w:rsidRPr="00892BD5" w:rsidRDefault="007E5143" w:rsidP="005F4DB2">
      <w:pPr>
        <w:jc w:val="both"/>
        <w:rPr>
          <w:rFonts w:ascii="Verdana" w:hAnsi="Verdana"/>
          <w:smallCaps/>
          <w:sz w:val="20"/>
          <w:lang w:val="nl-BE"/>
        </w:rPr>
      </w:pPr>
      <w:proofErr w:type="spellStart"/>
      <w:r w:rsidRPr="00892BD5">
        <w:rPr>
          <w:rFonts w:ascii="Verdana" w:hAnsi="Verdana"/>
          <w:smallCaps/>
          <w:sz w:val="20"/>
          <w:lang w:val="nl-BE"/>
        </w:rPr>
        <w:t>vlaams</w:t>
      </w:r>
      <w:proofErr w:type="spellEnd"/>
      <w:r w:rsidRPr="00892BD5">
        <w:rPr>
          <w:rFonts w:ascii="Verdana" w:hAnsi="Verdana"/>
          <w:smallCaps/>
          <w:sz w:val="20"/>
          <w:lang w:val="nl-BE"/>
        </w:rPr>
        <w:t xml:space="preserve"> minister van mobiliteit</w:t>
      </w:r>
      <w:r w:rsidR="005F4DB2" w:rsidRPr="00892BD5">
        <w:rPr>
          <w:rFonts w:ascii="Verdana" w:hAnsi="Verdana"/>
          <w:smallCaps/>
          <w:sz w:val="20"/>
          <w:lang w:val="nl-BE"/>
        </w:rPr>
        <w:t xml:space="preserve"> en</w:t>
      </w:r>
      <w:r w:rsidRPr="00892BD5">
        <w:rPr>
          <w:rFonts w:ascii="Verdana" w:hAnsi="Verdana"/>
          <w:smallCaps/>
          <w:sz w:val="20"/>
          <w:lang w:val="nl-BE"/>
        </w:rPr>
        <w:t xml:space="preserve"> openbare werken</w:t>
      </w:r>
    </w:p>
    <w:p w14:paraId="052ED451" w14:textId="77777777" w:rsidR="007E5143" w:rsidRPr="00892BD5" w:rsidRDefault="007E5143" w:rsidP="007E5143">
      <w:pPr>
        <w:pStyle w:val="StandaardSV"/>
        <w:pBdr>
          <w:bottom w:val="single" w:sz="4" w:space="1" w:color="auto"/>
        </w:pBdr>
        <w:rPr>
          <w:rFonts w:ascii="Verdana" w:hAnsi="Verdana"/>
          <w:sz w:val="20"/>
          <w:lang w:val="nl-BE"/>
        </w:rPr>
      </w:pPr>
    </w:p>
    <w:p w14:paraId="7093E803" w14:textId="77777777" w:rsidR="007E5143" w:rsidRPr="00892BD5" w:rsidRDefault="007E5143" w:rsidP="007E5143">
      <w:pPr>
        <w:jc w:val="both"/>
        <w:rPr>
          <w:rFonts w:ascii="Verdana" w:hAnsi="Verdana"/>
          <w:sz w:val="20"/>
        </w:rPr>
      </w:pPr>
    </w:p>
    <w:p w14:paraId="7538AAF4" w14:textId="77777777" w:rsidR="007E5143" w:rsidRPr="00892BD5" w:rsidRDefault="00A368AB" w:rsidP="007E5143">
      <w:pPr>
        <w:jc w:val="both"/>
        <w:rPr>
          <w:rFonts w:ascii="Verdana" w:hAnsi="Verdana"/>
          <w:b/>
          <w:sz w:val="20"/>
        </w:rPr>
      </w:pPr>
      <w:r w:rsidRPr="00892BD5">
        <w:rPr>
          <w:rFonts w:ascii="Verdana" w:hAnsi="Verdana"/>
          <w:b/>
          <w:smallCaps/>
          <w:sz w:val="20"/>
          <w:lang w:val="nl-BE"/>
        </w:rPr>
        <w:t>antwoord</w:t>
      </w:r>
    </w:p>
    <w:p w14:paraId="1A035A30" w14:textId="669E1F3B" w:rsidR="007E5143" w:rsidRPr="00892BD5" w:rsidRDefault="007E5143" w:rsidP="007E5143">
      <w:pPr>
        <w:jc w:val="both"/>
        <w:rPr>
          <w:rFonts w:ascii="Verdana" w:hAnsi="Verdana"/>
          <w:sz w:val="20"/>
        </w:rPr>
      </w:pPr>
      <w:r w:rsidRPr="00892BD5">
        <w:rPr>
          <w:rFonts w:ascii="Verdana" w:hAnsi="Verdana"/>
          <w:sz w:val="20"/>
        </w:rPr>
        <w:t>op vraag nr.</w:t>
      </w:r>
      <w:r w:rsidR="008A7503" w:rsidRPr="00892BD5">
        <w:rPr>
          <w:rFonts w:ascii="Verdana" w:hAnsi="Verdana"/>
          <w:sz w:val="20"/>
        </w:rPr>
        <w:t xml:space="preserve"> 1668</w:t>
      </w:r>
      <w:r w:rsidR="003237F9" w:rsidRPr="00892BD5">
        <w:rPr>
          <w:rFonts w:ascii="Verdana" w:hAnsi="Verdana"/>
          <w:sz w:val="20"/>
        </w:rPr>
        <w:t xml:space="preserve"> </w:t>
      </w:r>
      <w:r w:rsidR="00BA0F58" w:rsidRPr="00892BD5">
        <w:rPr>
          <w:rFonts w:ascii="Verdana" w:hAnsi="Verdana"/>
          <w:sz w:val="20"/>
        </w:rPr>
        <w:t>van</w:t>
      </w:r>
      <w:r w:rsidR="00A368AB" w:rsidRPr="00892BD5">
        <w:rPr>
          <w:rFonts w:ascii="Verdana" w:hAnsi="Verdana"/>
          <w:sz w:val="20"/>
        </w:rPr>
        <w:t xml:space="preserve"> </w:t>
      </w:r>
      <w:r w:rsidR="00906E6C" w:rsidRPr="00892BD5">
        <w:rPr>
          <w:rFonts w:ascii="Verdana" w:hAnsi="Verdana"/>
          <w:sz w:val="20"/>
        </w:rPr>
        <w:t>14 september 2022</w:t>
      </w:r>
    </w:p>
    <w:p w14:paraId="0DA7AD8C" w14:textId="20549842" w:rsidR="007E5143" w:rsidRPr="00892BD5" w:rsidRDefault="007E5143" w:rsidP="007E5143">
      <w:pPr>
        <w:jc w:val="both"/>
        <w:rPr>
          <w:rFonts w:ascii="Verdana" w:hAnsi="Verdana"/>
          <w:b/>
          <w:sz w:val="20"/>
        </w:rPr>
      </w:pPr>
      <w:r w:rsidRPr="00892BD5">
        <w:rPr>
          <w:rFonts w:ascii="Verdana" w:hAnsi="Verdana"/>
          <w:sz w:val="20"/>
        </w:rPr>
        <w:t xml:space="preserve">van </w:t>
      </w:r>
      <w:proofErr w:type="spellStart"/>
      <w:r w:rsidR="00816588" w:rsidRPr="00892BD5">
        <w:rPr>
          <w:rFonts w:ascii="Verdana" w:hAnsi="Verdana"/>
          <w:b/>
          <w:smallCaps/>
          <w:sz w:val="20"/>
        </w:rPr>
        <w:t>mercedes</w:t>
      </w:r>
      <w:proofErr w:type="spellEnd"/>
      <w:r w:rsidR="00816588" w:rsidRPr="00892BD5">
        <w:rPr>
          <w:rFonts w:ascii="Verdana" w:hAnsi="Verdana"/>
          <w:b/>
          <w:smallCaps/>
          <w:sz w:val="20"/>
        </w:rPr>
        <w:t xml:space="preserve"> van </w:t>
      </w:r>
      <w:proofErr w:type="spellStart"/>
      <w:r w:rsidR="00816588" w:rsidRPr="00892BD5">
        <w:rPr>
          <w:rFonts w:ascii="Verdana" w:hAnsi="Verdana"/>
          <w:b/>
          <w:smallCaps/>
          <w:sz w:val="20"/>
        </w:rPr>
        <w:t>volcem</w:t>
      </w:r>
      <w:proofErr w:type="spellEnd"/>
    </w:p>
    <w:p w14:paraId="74B9799F" w14:textId="77777777" w:rsidR="007E5143" w:rsidRPr="00892BD5" w:rsidRDefault="007E5143" w:rsidP="007E5143">
      <w:pPr>
        <w:pBdr>
          <w:bottom w:val="single" w:sz="4" w:space="1" w:color="auto"/>
        </w:pBdr>
        <w:jc w:val="both"/>
        <w:rPr>
          <w:rFonts w:ascii="Verdana" w:hAnsi="Verdana"/>
          <w:sz w:val="20"/>
        </w:rPr>
      </w:pPr>
    </w:p>
    <w:p w14:paraId="0A7BB796" w14:textId="28970D0A" w:rsidR="004E6C14" w:rsidRPr="00892BD5" w:rsidRDefault="004E6C14" w:rsidP="00BC6C8C">
      <w:pPr>
        <w:ind w:left="426"/>
        <w:jc w:val="both"/>
        <w:rPr>
          <w:rFonts w:ascii="Verdana" w:hAnsi="Verdana"/>
          <w:sz w:val="20"/>
        </w:rPr>
      </w:pPr>
    </w:p>
    <w:p w14:paraId="45DBF09B" w14:textId="77777777" w:rsidR="00BC6C8C" w:rsidRPr="00892BD5" w:rsidRDefault="00BC6C8C" w:rsidP="00BC6C8C">
      <w:pPr>
        <w:ind w:left="426"/>
        <w:jc w:val="both"/>
        <w:rPr>
          <w:rFonts w:ascii="Verdana" w:hAnsi="Verdana"/>
          <w:sz w:val="20"/>
        </w:rPr>
      </w:pPr>
    </w:p>
    <w:p w14:paraId="74E0CE31" w14:textId="77777777" w:rsidR="00BC6C8C" w:rsidRPr="00892BD5" w:rsidRDefault="003E6838" w:rsidP="00BC6C8C">
      <w:pPr>
        <w:pStyle w:val="Lijstalinea"/>
        <w:numPr>
          <w:ilvl w:val="0"/>
          <w:numId w:val="10"/>
        </w:numPr>
        <w:jc w:val="both"/>
        <w:rPr>
          <w:rFonts w:ascii="Verdana" w:eastAsiaTheme="minorEastAsia" w:hAnsi="Verdana" w:cstheme="minorBidi"/>
          <w:sz w:val="20"/>
          <w:szCs w:val="20"/>
          <w:lang w:val="nl-BE"/>
        </w:rPr>
      </w:pPr>
      <w:r w:rsidRPr="00892BD5">
        <w:rPr>
          <w:rFonts w:ascii="Verdana" w:eastAsia="Verdana" w:hAnsi="Verdana" w:cs="Verdana"/>
          <w:sz w:val="20"/>
          <w:szCs w:val="20"/>
        </w:rPr>
        <w:t>De technische voorschriften voor de stadsrondvaartboten zijn ingevoerd met het koninklijk besluit van 19 maart 2009 als omzetting van de Europese richtlijn 2006/87/EG tot vaststelling van de technische voorschriften voor binnenschepen. Deze richtlijn bevat een hoofdstuk met technische voorschriften voor passagiersvaartuigen. Bij de omzetting van deze richtlijn werd duidelijk dat de stadsrondvaartboten - die toen al jaren in Brugge en Gent rondvoeren -helemaal niet konden voldoen aan de eisen voor passagiersvaartuigen in de Europese richtlijn. De richtlijn voorzag evenwel in een artikel waarin de lidstaten ontheffingen konden verlenen aan vaartuigen die waterwegen bevaren die niet door binnenwateren met de waterwegen van andere lidstaten zijn verbonden of op de nationale waterwegen ontheffingen toestaan voor beperkte reizen van plaatselijk belang of in havengebieden.</w:t>
      </w:r>
    </w:p>
    <w:p w14:paraId="65E1E50E" w14:textId="77777777" w:rsidR="00BC6C8C" w:rsidRPr="00892BD5" w:rsidRDefault="00BC6C8C" w:rsidP="00BC6C8C">
      <w:pPr>
        <w:pStyle w:val="Lijstalinea"/>
        <w:ind w:left="360"/>
        <w:jc w:val="both"/>
        <w:rPr>
          <w:rFonts w:ascii="Verdana" w:eastAsia="Verdana" w:hAnsi="Verdana" w:cs="Verdana"/>
          <w:sz w:val="20"/>
          <w:szCs w:val="20"/>
          <w:lang w:val="nl-BE"/>
        </w:rPr>
      </w:pPr>
    </w:p>
    <w:p w14:paraId="2D0FCDFB" w14:textId="77777777" w:rsidR="00BC6C8C" w:rsidRPr="00892BD5" w:rsidRDefault="003E6838" w:rsidP="00BC6C8C">
      <w:pPr>
        <w:pStyle w:val="Lijstalinea"/>
        <w:ind w:left="360"/>
        <w:jc w:val="both"/>
        <w:rPr>
          <w:rFonts w:ascii="Verdana" w:eastAsia="Verdana" w:hAnsi="Verdana" w:cs="Verdana"/>
          <w:sz w:val="20"/>
          <w:szCs w:val="20"/>
        </w:rPr>
      </w:pPr>
      <w:r w:rsidRPr="00892BD5">
        <w:rPr>
          <w:rFonts w:ascii="Verdana" w:eastAsia="Verdana" w:hAnsi="Verdana" w:cs="Verdana"/>
          <w:sz w:val="20"/>
          <w:szCs w:val="20"/>
        </w:rPr>
        <w:t>Daarom werd toen met de sector overlegd en voorzien in voorschriften met ontheffingen voor open stadsrondvaartboten met een maximale lengte van 20m en gesloten stadsrondvaartboten met een maximale lengte van 30m voor het ganse land. Vaartuigen langer dan deze afmetingen en met het oogmerk om meer dan 12 passagiers te vervoeren moesten aan de veel strengere eisen van het hoofdstuk 15 betreffende de bijzondere bepalingen voor passagiersschepen voldoen.</w:t>
      </w:r>
    </w:p>
    <w:p w14:paraId="764724F2" w14:textId="77777777" w:rsidR="00BC6C8C" w:rsidRPr="00892BD5" w:rsidRDefault="00BC6C8C" w:rsidP="00BC6C8C">
      <w:pPr>
        <w:pStyle w:val="Lijstalinea"/>
        <w:ind w:left="360"/>
        <w:jc w:val="both"/>
        <w:rPr>
          <w:rFonts w:ascii="Verdana" w:eastAsia="Verdana" w:hAnsi="Verdana" w:cs="Verdana"/>
          <w:sz w:val="20"/>
          <w:szCs w:val="20"/>
        </w:rPr>
      </w:pPr>
    </w:p>
    <w:p w14:paraId="2E5A3994" w14:textId="77777777" w:rsidR="00BC6C8C" w:rsidRPr="00892BD5" w:rsidRDefault="003E6838" w:rsidP="00BC6C8C">
      <w:pPr>
        <w:pStyle w:val="Lijstalinea"/>
        <w:ind w:left="360"/>
        <w:jc w:val="both"/>
        <w:rPr>
          <w:rFonts w:ascii="Verdana" w:eastAsia="Verdana" w:hAnsi="Verdana" w:cs="Verdana"/>
          <w:sz w:val="20"/>
          <w:szCs w:val="20"/>
        </w:rPr>
      </w:pPr>
      <w:r w:rsidRPr="00892BD5">
        <w:rPr>
          <w:rFonts w:ascii="Verdana" w:eastAsia="Verdana" w:hAnsi="Verdana" w:cs="Verdana"/>
          <w:sz w:val="20"/>
          <w:szCs w:val="20"/>
        </w:rPr>
        <w:t>Bij de omzetting van de nieuwe richtlijn (EU) 2016/1629</w:t>
      </w:r>
      <w:r w:rsidRPr="00892BD5">
        <w:rPr>
          <w:rFonts w:ascii="Verdana" w:hAnsi="Verdana"/>
          <w:sz w:val="20"/>
          <w:szCs w:val="20"/>
        </w:rPr>
        <w:t xml:space="preserve"> </w:t>
      </w:r>
      <w:r w:rsidRPr="00892BD5">
        <w:rPr>
          <w:rFonts w:ascii="Verdana" w:eastAsia="Verdana" w:hAnsi="Verdana" w:cs="Verdana"/>
          <w:sz w:val="20"/>
          <w:szCs w:val="20"/>
        </w:rPr>
        <w:t xml:space="preserve">tot vaststelling van de technische voorschriften voor binnenschepen, werd ervoor gekozen het koninklijk besluit van 2009 op te heffen en te voorzien in een volledig nieuw besluit van de Vlaamse regering. </w:t>
      </w:r>
      <w:proofErr w:type="spellStart"/>
      <w:r w:rsidRPr="00892BD5">
        <w:rPr>
          <w:rFonts w:ascii="Verdana" w:eastAsia="Verdana" w:hAnsi="Verdana" w:cs="Verdana"/>
          <w:sz w:val="20"/>
          <w:szCs w:val="20"/>
        </w:rPr>
        <w:t>Wetgevingstechnisch</w:t>
      </w:r>
      <w:proofErr w:type="spellEnd"/>
      <w:r w:rsidRPr="00892BD5">
        <w:rPr>
          <w:rFonts w:ascii="Verdana" w:eastAsia="Verdana" w:hAnsi="Verdana" w:cs="Verdana"/>
          <w:sz w:val="20"/>
          <w:szCs w:val="20"/>
        </w:rPr>
        <w:t xml:space="preserve"> diende ook voorzien te worden in een definitie voor de stadsrondvaartboot, wat in het koninklijk besluit niet was opgenomen. Deze definitie is toen spijtig genoeg ongelukkig gekozen met een vaste maximale lengte van 25m, terwijl de bijlage nog steeds de afmetingen van 20m voor open stadsrondvaartboten en 30m voor de gesloten stadsrondvaartboten behouden had.</w:t>
      </w:r>
    </w:p>
    <w:p w14:paraId="30100C49" w14:textId="77777777" w:rsidR="00BC6C8C" w:rsidRPr="00892BD5" w:rsidRDefault="00BC6C8C" w:rsidP="00BC6C8C">
      <w:pPr>
        <w:pStyle w:val="Lijstalinea"/>
        <w:ind w:left="360"/>
        <w:jc w:val="both"/>
        <w:rPr>
          <w:rFonts w:ascii="Verdana" w:eastAsia="Verdana" w:hAnsi="Verdana" w:cs="Verdana"/>
          <w:sz w:val="20"/>
          <w:szCs w:val="20"/>
        </w:rPr>
      </w:pPr>
    </w:p>
    <w:p w14:paraId="577DF506" w14:textId="77777777" w:rsidR="00BC6C8C" w:rsidRPr="00892BD5" w:rsidRDefault="003E6838" w:rsidP="00BC6C8C">
      <w:pPr>
        <w:pStyle w:val="Lijstalinea"/>
        <w:ind w:left="360"/>
        <w:jc w:val="both"/>
        <w:rPr>
          <w:rFonts w:ascii="Verdana" w:eastAsia="Verdana" w:hAnsi="Verdana" w:cs="Verdana"/>
          <w:sz w:val="20"/>
          <w:szCs w:val="20"/>
        </w:rPr>
      </w:pPr>
      <w:r w:rsidRPr="00892BD5">
        <w:rPr>
          <w:rFonts w:ascii="Verdana" w:eastAsia="Verdana" w:hAnsi="Verdana" w:cs="Verdana"/>
          <w:sz w:val="20"/>
          <w:szCs w:val="20"/>
        </w:rPr>
        <w:t>De Commissie van Deskundigen heeft in de praktijk echter steeds de bepalingen uit de bijlage met betrekking tot de stadsrondvaartboten blijven hanteren ongeacht de definitie uit het corpus van het besluit.</w:t>
      </w:r>
    </w:p>
    <w:p w14:paraId="75A5DF3A" w14:textId="77777777" w:rsidR="00BC6C8C" w:rsidRPr="00892BD5" w:rsidRDefault="00BC6C8C" w:rsidP="00BC6C8C">
      <w:pPr>
        <w:pStyle w:val="Lijstalinea"/>
        <w:ind w:left="360"/>
        <w:jc w:val="both"/>
        <w:rPr>
          <w:rFonts w:ascii="Verdana" w:eastAsia="Verdana" w:hAnsi="Verdana" w:cs="Verdana"/>
          <w:sz w:val="20"/>
          <w:szCs w:val="20"/>
        </w:rPr>
      </w:pPr>
    </w:p>
    <w:p w14:paraId="23C8F954" w14:textId="162DC9DD" w:rsidR="003E6838" w:rsidRPr="00892BD5" w:rsidRDefault="003E6838" w:rsidP="00BC6C8C">
      <w:pPr>
        <w:pStyle w:val="Lijstalinea"/>
        <w:ind w:left="360"/>
        <w:jc w:val="both"/>
        <w:rPr>
          <w:rFonts w:ascii="Verdana" w:eastAsiaTheme="minorEastAsia" w:hAnsi="Verdana" w:cstheme="minorBidi"/>
          <w:sz w:val="20"/>
          <w:szCs w:val="20"/>
          <w:lang w:val="nl-BE"/>
        </w:rPr>
      </w:pPr>
      <w:r w:rsidRPr="00892BD5">
        <w:rPr>
          <w:rFonts w:ascii="Verdana" w:eastAsia="Verdana" w:hAnsi="Verdana" w:cs="Verdana"/>
          <w:sz w:val="20"/>
          <w:szCs w:val="20"/>
        </w:rPr>
        <w:t>De voorgestelde wijziging is bijgevolg een rechtzetting van een fout in het oorspronkelijke besluit van de Vlaamse regering van 2018. Hiermee kiest de Vlaamse regering voor de continuïteit van een regelgeving die al sinds 2009 gangbaar is en ook haar nut heeft bewezen. Deze wijziging is dus heel wenselijk en geldt niet enkel voor de Brugse stad maar ook voor andere steden in Vlaanderen. De minister houdt bijgevolg vast aan de voorgestelde wijziging.</w:t>
      </w:r>
    </w:p>
    <w:p w14:paraId="7011D817" w14:textId="77777777" w:rsidR="003E6838" w:rsidRPr="00892BD5" w:rsidRDefault="003E6838" w:rsidP="00BC6C8C">
      <w:pPr>
        <w:ind w:left="708"/>
        <w:jc w:val="both"/>
        <w:rPr>
          <w:rFonts w:ascii="Verdana" w:hAnsi="Verdana"/>
          <w:sz w:val="20"/>
        </w:rPr>
      </w:pPr>
    </w:p>
    <w:p w14:paraId="684BDB45" w14:textId="51B1D36F" w:rsidR="00060F25" w:rsidRPr="00892BD5" w:rsidRDefault="003E6838" w:rsidP="00BC6C8C">
      <w:pPr>
        <w:pStyle w:val="Lijstalinea"/>
        <w:numPr>
          <w:ilvl w:val="0"/>
          <w:numId w:val="10"/>
        </w:numPr>
        <w:jc w:val="both"/>
        <w:rPr>
          <w:rFonts w:ascii="Verdana" w:eastAsiaTheme="minorEastAsia" w:hAnsi="Verdana" w:cstheme="minorBidi"/>
          <w:sz w:val="20"/>
          <w:szCs w:val="20"/>
        </w:rPr>
      </w:pPr>
      <w:r w:rsidRPr="00892BD5">
        <w:rPr>
          <w:rFonts w:ascii="Verdana" w:eastAsia="Verdana" w:hAnsi="Verdana" w:cs="Verdana"/>
          <w:sz w:val="20"/>
          <w:szCs w:val="20"/>
        </w:rPr>
        <w:t>Zoals toegelicht onder deelvraag 1 betreft dit slechts de rechtzetting van de definitie aan de technische eisen in de bijlage bij het BVR technische voorschriften.</w:t>
      </w:r>
    </w:p>
    <w:sectPr w:rsidR="00060F25" w:rsidRPr="00892BD5" w:rsidSect="004A3999">
      <w:pgSz w:w="11906" w:h="16838"/>
      <w:pgMar w:top="1417" w:right="1558"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D956C9C"/>
    <w:multiLevelType w:val="hybridMultilevel"/>
    <w:tmpl w:val="27007BA8"/>
    <w:lvl w:ilvl="0" w:tplc="54D4A1F8">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356448"/>
    <w:multiLevelType w:val="hybridMultilevel"/>
    <w:tmpl w:val="BC7C937E"/>
    <w:lvl w:ilvl="0" w:tplc="E04C4E76">
      <w:start w:val="1"/>
      <w:numFmt w:val="decimal"/>
      <w:lvlText w:val="%1."/>
      <w:lvlJc w:val="left"/>
      <w:pPr>
        <w:ind w:left="360" w:hanging="360"/>
      </w:pPr>
      <w:rPr>
        <w:rFonts w:ascii="Verdana" w:hAnsi="Verdana" w:hint="default"/>
        <w:lang w:val="nl-NL"/>
      </w:rPr>
    </w:lvl>
    <w:lvl w:ilvl="1" w:tplc="445CDDEE">
      <w:start w:val="1"/>
      <w:numFmt w:val="lowerLetter"/>
      <w:lvlText w:val="%2."/>
      <w:lvlJc w:val="left"/>
      <w:pPr>
        <w:ind w:left="1080" w:hanging="360"/>
      </w:pPr>
    </w:lvl>
    <w:lvl w:ilvl="2" w:tplc="AB1CCA16">
      <w:start w:val="1"/>
      <w:numFmt w:val="lowerRoman"/>
      <w:lvlText w:val="%3."/>
      <w:lvlJc w:val="right"/>
      <w:pPr>
        <w:ind w:left="1800" w:hanging="180"/>
      </w:pPr>
    </w:lvl>
    <w:lvl w:ilvl="3" w:tplc="631ED5B0">
      <w:start w:val="1"/>
      <w:numFmt w:val="decimal"/>
      <w:lvlText w:val="%4."/>
      <w:lvlJc w:val="left"/>
      <w:pPr>
        <w:ind w:left="2520" w:hanging="360"/>
      </w:pPr>
    </w:lvl>
    <w:lvl w:ilvl="4" w:tplc="37A637A4">
      <w:start w:val="1"/>
      <w:numFmt w:val="lowerLetter"/>
      <w:lvlText w:val="%5."/>
      <w:lvlJc w:val="left"/>
      <w:pPr>
        <w:ind w:left="3240" w:hanging="360"/>
      </w:pPr>
    </w:lvl>
    <w:lvl w:ilvl="5" w:tplc="F644360E">
      <w:start w:val="1"/>
      <w:numFmt w:val="lowerRoman"/>
      <w:lvlText w:val="%6."/>
      <w:lvlJc w:val="right"/>
      <w:pPr>
        <w:ind w:left="3960" w:hanging="180"/>
      </w:pPr>
    </w:lvl>
    <w:lvl w:ilvl="6" w:tplc="2A660AA6">
      <w:start w:val="1"/>
      <w:numFmt w:val="decimal"/>
      <w:lvlText w:val="%7."/>
      <w:lvlJc w:val="left"/>
      <w:pPr>
        <w:ind w:left="4680" w:hanging="360"/>
      </w:pPr>
    </w:lvl>
    <w:lvl w:ilvl="7" w:tplc="07E89970">
      <w:start w:val="1"/>
      <w:numFmt w:val="lowerLetter"/>
      <w:lvlText w:val="%8."/>
      <w:lvlJc w:val="left"/>
      <w:pPr>
        <w:ind w:left="5400" w:hanging="360"/>
      </w:pPr>
    </w:lvl>
    <w:lvl w:ilvl="8" w:tplc="01C06326">
      <w:start w:val="1"/>
      <w:numFmt w:val="lowerRoman"/>
      <w:lvlText w:val="%9."/>
      <w:lvlJc w:val="right"/>
      <w:pPr>
        <w:ind w:left="6120" w:hanging="180"/>
      </w:pPr>
    </w:lvl>
  </w:abstractNum>
  <w:abstractNum w:abstractNumId="8" w15:restartNumberingAfterBreak="0">
    <w:nsid w:val="486A4518"/>
    <w:multiLevelType w:val="hybridMultilevel"/>
    <w:tmpl w:val="DB8AEA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16cid:durableId="1546943167">
    <w:abstractNumId w:val="9"/>
  </w:num>
  <w:num w:numId="2" w16cid:durableId="1448550930">
    <w:abstractNumId w:val="1"/>
    <w:lvlOverride w:ilvl="0">
      <w:startOverride w:val="1"/>
    </w:lvlOverride>
    <w:lvlOverride w:ilvl="1"/>
    <w:lvlOverride w:ilvl="2"/>
    <w:lvlOverride w:ilvl="3"/>
    <w:lvlOverride w:ilvl="4"/>
    <w:lvlOverride w:ilvl="5"/>
    <w:lvlOverride w:ilvl="6"/>
    <w:lvlOverride w:ilvl="7"/>
    <w:lvlOverride w:ilvl="8"/>
  </w:num>
  <w:num w:numId="3" w16cid:durableId="2043089532">
    <w:abstractNumId w:val="6"/>
  </w:num>
  <w:num w:numId="4" w16cid:durableId="150684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1808973">
    <w:abstractNumId w:val="0"/>
  </w:num>
  <w:num w:numId="6" w16cid:durableId="2050765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4619095">
    <w:abstractNumId w:val="5"/>
  </w:num>
  <w:num w:numId="8" w16cid:durableId="880360149">
    <w:abstractNumId w:val="4"/>
  </w:num>
  <w:num w:numId="9" w16cid:durableId="327365906">
    <w:abstractNumId w:val="8"/>
  </w:num>
  <w:num w:numId="10" w16cid:durableId="1692103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32D5E"/>
    <w:rsid w:val="00056C01"/>
    <w:rsid w:val="00060F25"/>
    <w:rsid w:val="0006505B"/>
    <w:rsid w:val="000C28B3"/>
    <w:rsid w:val="000E0D67"/>
    <w:rsid w:val="00100CB0"/>
    <w:rsid w:val="00117D19"/>
    <w:rsid w:val="00153978"/>
    <w:rsid w:val="001722AA"/>
    <w:rsid w:val="00187521"/>
    <w:rsid w:val="001C6F2D"/>
    <w:rsid w:val="00204528"/>
    <w:rsid w:val="00266954"/>
    <w:rsid w:val="002700FB"/>
    <w:rsid w:val="00273260"/>
    <w:rsid w:val="002A3774"/>
    <w:rsid w:val="002A3C1A"/>
    <w:rsid w:val="002B1E2C"/>
    <w:rsid w:val="002C6828"/>
    <w:rsid w:val="002D54F9"/>
    <w:rsid w:val="002D63DA"/>
    <w:rsid w:val="002F18EB"/>
    <w:rsid w:val="002F4570"/>
    <w:rsid w:val="003114EC"/>
    <w:rsid w:val="00311D9C"/>
    <w:rsid w:val="003237F9"/>
    <w:rsid w:val="00325BB2"/>
    <w:rsid w:val="0034762F"/>
    <w:rsid w:val="00350A5D"/>
    <w:rsid w:val="003A4161"/>
    <w:rsid w:val="003E6838"/>
    <w:rsid w:val="004032D9"/>
    <w:rsid w:val="004A3999"/>
    <w:rsid w:val="004B175F"/>
    <w:rsid w:val="004C3444"/>
    <w:rsid w:val="004D2A67"/>
    <w:rsid w:val="004E6C14"/>
    <w:rsid w:val="00583FD7"/>
    <w:rsid w:val="00595311"/>
    <w:rsid w:val="005D3C1F"/>
    <w:rsid w:val="005F4DB2"/>
    <w:rsid w:val="0060166B"/>
    <w:rsid w:val="00626E0F"/>
    <w:rsid w:val="00637A6F"/>
    <w:rsid w:val="00651127"/>
    <w:rsid w:val="00654003"/>
    <w:rsid w:val="0066761A"/>
    <w:rsid w:val="00683233"/>
    <w:rsid w:val="006A3D0A"/>
    <w:rsid w:val="00783820"/>
    <w:rsid w:val="007C36E6"/>
    <w:rsid w:val="007D10DD"/>
    <w:rsid w:val="007E5143"/>
    <w:rsid w:val="00816588"/>
    <w:rsid w:val="00820238"/>
    <w:rsid w:val="00821CB0"/>
    <w:rsid w:val="00873CE4"/>
    <w:rsid w:val="00892BD5"/>
    <w:rsid w:val="00897B9E"/>
    <w:rsid w:val="008A7503"/>
    <w:rsid w:val="008F60FF"/>
    <w:rsid w:val="00906E6C"/>
    <w:rsid w:val="009151B7"/>
    <w:rsid w:val="00927C5F"/>
    <w:rsid w:val="00930A6B"/>
    <w:rsid w:val="00945FBF"/>
    <w:rsid w:val="009513D5"/>
    <w:rsid w:val="009536AF"/>
    <w:rsid w:val="00982C14"/>
    <w:rsid w:val="009A0D2B"/>
    <w:rsid w:val="009A1989"/>
    <w:rsid w:val="009E65CF"/>
    <w:rsid w:val="009F0F15"/>
    <w:rsid w:val="00A00E96"/>
    <w:rsid w:val="00A1525D"/>
    <w:rsid w:val="00A368AB"/>
    <w:rsid w:val="00A440A0"/>
    <w:rsid w:val="00A90530"/>
    <w:rsid w:val="00AA1720"/>
    <w:rsid w:val="00AF4E3B"/>
    <w:rsid w:val="00B07F83"/>
    <w:rsid w:val="00B13421"/>
    <w:rsid w:val="00B305C7"/>
    <w:rsid w:val="00B42767"/>
    <w:rsid w:val="00B53CA5"/>
    <w:rsid w:val="00B653B3"/>
    <w:rsid w:val="00B81DA9"/>
    <w:rsid w:val="00B9601E"/>
    <w:rsid w:val="00BA0F58"/>
    <w:rsid w:val="00BC1176"/>
    <w:rsid w:val="00BC6C8C"/>
    <w:rsid w:val="00BD75E8"/>
    <w:rsid w:val="00C00277"/>
    <w:rsid w:val="00C34476"/>
    <w:rsid w:val="00C47A6C"/>
    <w:rsid w:val="00C51F39"/>
    <w:rsid w:val="00C5459C"/>
    <w:rsid w:val="00C9724A"/>
    <w:rsid w:val="00CB2FB0"/>
    <w:rsid w:val="00CE7894"/>
    <w:rsid w:val="00D217B5"/>
    <w:rsid w:val="00D31984"/>
    <w:rsid w:val="00D630F2"/>
    <w:rsid w:val="00D64A77"/>
    <w:rsid w:val="00D928A1"/>
    <w:rsid w:val="00D93ECC"/>
    <w:rsid w:val="00DB410E"/>
    <w:rsid w:val="00DC1533"/>
    <w:rsid w:val="00DD354A"/>
    <w:rsid w:val="00DF3E00"/>
    <w:rsid w:val="00DF7041"/>
    <w:rsid w:val="00E27AAB"/>
    <w:rsid w:val="00E82EC8"/>
    <w:rsid w:val="00E92992"/>
    <w:rsid w:val="00EA3C8A"/>
    <w:rsid w:val="00EB603E"/>
    <w:rsid w:val="00EC72B7"/>
    <w:rsid w:val="00EC7E6A"/>
    <w:rsid w:val="00ED3C1F"/>
    <w:rsid w:val="00EE3AB4"/>
    <w:rsid w:val="00EF4C0F"/>
    <w:rsid w:val="00F166F2"/>
    <w:rsid w:val="00F41AC9"/>
    <w:rsid w:val="00F80E7D"/>
    <w:rsid w:val="00F834AC"/>
    <w:rsid w:val="00F9011A"/>
    <w:rsid w:val="00FC10B8"/>
    <w:rsid w:val="00FC5762"/>
    <w:rsid w:val="00FD7018"/>
    <w:rsid w:val="00FE28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8FB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StijlStandaardSVVerdana10ptCursiefLinks-175cm">
    <w:name w:val="Stijl Standaard SV + Verdana 10 pt Cursief Links:  -175 cm"/>
    <w:basedOn w:val="StandaardSV"/>
    <w:rsid w:val="00654003"/>
    <w:rPr>
      <w:rFonts w:ascii="Verdana" w:hAnsi="Verdana"/>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6261">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1EF8-2071-4698-B151-90573D4A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54CDB365-6212-4418-99E7-6A9C2B4B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Cammu</dc:creator>
  <cp:lastModifiedBy>Nathalie De Keyzer</cp:lastModifiedBy>
  <cp:revision>3</cp:revision>
  <cp:lastPrinted>2022-09-29T10:59:00Z</cp:lastPrinted>
  <dcterms:created xsi:type="dcterms:W3CDTF">2022-10-09T15:14:00Z</dcterms:created>
  <dcterms:modified xsi:type="dcterms:W3CDTF">2022-10-10T09:39:00Z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ies>
</file>