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A973" w14:textId="77777777" w:rsidR="00C96513" w:rsidRPr="00E75ECB" w:rsidRDefault="00000000" w:rsidP="00204C10">
      <w:pPr>
        <w:pStyle w:val="opschrift"/>
        <w:spacing w:before="0"/>
      </w:pPr>
      <w:r w:rsidRPr="00E75ECB">
        <w:t>schriftelijke vraag</w:t>
      </w:r>
    </w:p>
    <w:p w14:paraId="6CF16C4D" w14:textId="77777777" w:rsidR="00C96513" w:rsidRPr="00E75ECB" w:rsidRDefault="00000000" w:rsidP="00E75678"/>
    <w:p w14:paraId="04D4C9C7" w14:textId="0BF7C1B9" w:rsidR="00C96513" w:rsidRPr="00E75ECB" w:rsidRDefault="00000000" w:rsidP="00E75678">
      <w:r w:rsidRPr="00E75ECB">
        <w:t xml:space="preserve">nr. </w:t>
      </w:r>
      <w:r w:rsidR="00E75ECB">
        <w:t>34</w:t>
      </w:r>
    </w:p>
    <w:p w14:paraId="724D77E2" w14:textId="77777777" w:rsidR="00C96513" w:rsidRPr="00E75ECB" w:rsidRDefault="00000000" w:rsidP="00E75678">
      <w:pPr>
        <w:rPr>
          <w:b/>
          <w:smallCaps/>
        </w:rPr>
      </w:pPr>
      <w:r w:rsidRPr="00E75ECB">
        <w:t xml:space="preserve">van </w:t>
      </w:r>
      <w:proofErr w:type="spellStart"/>
      <w:r w:rsidRPr="00E75ECB">
        <w:rPr>
          <w:b/>
          <w:smallCaps/>
        </w:rPr>
        <w:t>mercedes</w:t>
      </w:r>
      <w:proofErr w:type="spellEnd"/>
      <w:r w:rsidRPr="00E75ECB">
        <w:rPr>
          <w:b/>
          <w:smallCaps/>
        </w:rPr>
        <w:t xml:space="preserve"> van </w:t>
      </w:r>
      <w:proofErr w:type="spellStart"/>
      <w:r w:rsidRPr="00E75ECB">
        <w:rPr>
          <w:b/>
          <w:smallCaps/>
        </w:rPr>
        <w:t>volcem</w:t>
      </w:r>
      <w:proofErr w:type="spellEnd"/>
    </w:p>
    <w:p w14:paraId="20FD19D5" w14:textId="77777777" w:rsidR="00C96513" w:rsidRPr="00E75ECB" w:rsidRDefault="00000000" w:rsidP="00E75678">
      <w:r w:rsidRPr="00E75ECB">
        <w:t>datum: 3 oktober 2022</w:t>
      </w:r>
    </w:p>
    <w:p w14:paraId="28D4B641" w14:textId="77777777" w:rsidR="00C96513" w:rsidRPr="00E75ECB" w:rsidRDefault="00000000" w:rsidP="00E75678">
      <w:pPr>
        <w:pBdr>
          <w:bottom w:val="single" w:sz="4" w:space="1" w:color="auto"/>
        </w:pBdr>
      </w:pPr>
    </w:p>
    <w:p w14:paraId="0360A619" w14:textId="77777777" w:rsidR="00C96513" w:rsidRPr="00E75ECB" w:rsidRDefault="00000000" w:rsidP="00E75678"/>
    <w:p w14:paraId="2DD0AF53" w14:textId="77777777" w:rsidR="00C96513" w:rsidRPr="00E75ECB" w:rsidRDefault="00000000" w:rsidP="00E75678">
      <w:pPr>
        <w:rPr>
          <w:rFonts w:ascii="Times New Roman Vet" w:hAnsi="Times New Roman Vet"/>
          <w:sz w:val="22"/>
          <w:szCs w:val="22"/>
        </w:rPr>
      </w:pPr>
      <w:r w:rsidRPr="00E75ECB">
        <w:rPr>
          <w:szCs w:val="22"/>
        </w:rPr>
        <w:t>aan</w:t>
      </w:r>
      <w:r w:rsidRPr="00E75ECB">
        <w:rPr>
          <w:b/>
          <w:smallCaps/>
          <w:szCs w:val="22"/>
        </w:rPr>
        <w:t xml:space="preserve"> </w:t>
      </w:r>
      <w:proofErr w:type="spellStart"/>
      <w:r w:rsidRPr="00E75ECB">
        <w:rPr>
          <w:b/>
          <w:smallCaps/>
          <w:szCs w:val="22"/>
        </w:rPr>
        <w:t>zuhal</w:t>
      </w:r>
      <w:proofErr w:type="spellEnd"/>
      <w:r w:rsidRPr="00E75ECB">
        <w:rPr>
          <w:b/>
          <w:smallCaps/>
          <w:szCs w:val="22"/>
        </w:rPr>
        <w:t xml:space="preserve"> </w:t>
      </w:r>
      <w:proofErr w:type="spellStart"/>
      <w:r w:rsidRPr="00E75ECB">
        <w:rPr>
          <w:b/>
          <w:smallCaps/>
          <w:szCs w:val="22"/>
        </w:rPr>
        <w:t>demir</w:t>
      </w:r>
      <w:proofErr w:type="spellEnd"/>
    </w:p>
    <w:p w14:paraId="39E2DD5E" w14:textId="77777777" w:rsidR="00C96513" w:rsidRPr="00E75ECB" w:rsidRDefault="00000000" w:rsidP="00E75678">
      <w:pPr>
        <w:rPr>
          <w:smallCaps/>
          <w:szCs w:val="22"/>
        </w:rPr>
      </w:pPr>
      <w:proofErr w:type="spellStart"/>
      <w:r w:rsidRPr="00E75ECB">
        <w:rPr>
          <w:smallCaps/>
          <w:szCs w:val="22"/>
        </w:rPr>
        <w:t>vlaams</w:t>
      </w:r>
      <w:proofErr w:type="spellEnd"/>
      <w:r w:rsidRPr="00E75ECB">
        <w:rPr>
          <w:smallCaps/>
          <w:szCs w:val="22"/>
        </w:rPr>
        <w:t xml:space="preserve"> minister van justitie en handhaving, omgeving, energie en toerisme</w:t>
      </w:r>
    </w:p>
    <w:p w14:paraId="4F532D4C" w14:textId="77777777" w:rsidR="00C96513" w:rsidRPr="00E75ECB" w:rsidRDefault="00000000" w:rsidP="00E75678">
      <w:pPr>
        <w:pStyle w:val="StandaardSV"/>
        <w:pBdr>
          <w:bottom w:val="single" w:sz="4" w:space="1" w:color="auto"/>
        </w:pBdr>
        <w:jc w:val="left"/>
        <w:rPr>
          <w:rFonts w:ascii="Verdana" w:hAnsi="Verdana"/>
          <w:sz w:val="20"/>
        </w:rPr>
      </w:pPr>
    </w:p>
    <w:p w14:paraId="44FDA7C2" w14:textId="77777777" w:rsidR="00451CDB" w:rsidRPr="00E75ECB" w:rsidRDefault="00000000" w:rsidP="00E75678">
      <w:pPr>
        <w:pStyle w:val="StandaardSV"/>
        <w:jc w:val="left"/>
        <w:rPr>
          <w:rFonts w:ascii="Verdana" w:hAnsi="Verdana"/>
          <w:sz w:val="20"/>
        </w:rPr>
      </w:pPr>
    </w:p>
    <w:p w14:paraId="52198D93" w14:textId="77777777" w:rsidR="00451CDB" w:rsidRPr="00E75ECB" w:rsidRDefault="00000000" w:rsidP="00E75678">
      <w:pPr>
        <w:pStyle w:val="StandaardSV"/>
        <w:jc w:val="left"/>
        <w:rPr>
          <w:rFonts w:ascii="Verdana" w:hAnsi="Verdana"/>
          <w:sz w:val="20"/>
        </w:rPr>
      </w:pPr>
    </w:p>
    <w:p w14:paraId="395920E9" w14:textId="5A5D2127" w:rsidR="00C96513" w:rsidRPr="00E75ECB" w:rsidRDefault="00E75ECB" w:rsidP="00D07EAC">
      <w:pPr>
        <w:pStyle w:val="StijlStandaardSVVerdana10ptCursiefLinks-175cm"/>
        <w:rPr>
          <w:rFonts w:eastAsia="Calibri"/>
          <w:lang w:eastAsia="en-US"/>
        </w:rPr>
      </w:pPr>
      <w:r w:rsidRPr="00E75ECB">
        <w:rPr>
          <w:rFonts w:eastAsia="Calibri"/>
          <w:lang w:eastAsia="en-US"/>
        </w:rPr>
        <w:t>Ontharding  -  Vergunningsplicht en vrijstellingen</w:t>
      </w:r>
    </w:p>
    <w:p w14:paraId="2B5062B0" w14:textId="77777777" w:rsidR="00CF752D" w:rsidRPr="00E75ECB" w:rsidRDefault="00000000" w:rsidP="00E75678">
      <w:pPr>
        <w:pStyle w:val="StijlStandaardSVVerdana10ptLinks-175cm"/>
        <w:rPr>
          <w:rFonts w:eastAsia="Calibri"/>
          <w:lang w:eastAsia="en-US"/>
        </w:rPr>
      </w:pPr>
    </w:p>
    <w:p w14:paraId="45E6BDD3" w14:textId="65A485AE" w:rsidR="005014B9" w:rsidRPr="00E75ECB" w:rsidRDefault="00751C76" w:rsidP="00751C76">
      <w:pPr>
        <w:spacing w:after="120"/>
        <w:rPr>
          <w:rFonts w:ascii="Times New Roman" w:hAnsi="Times New Roman"/>
        </w:rPr>
      </w:pPr>
      <w:r w:rsidRPr="00E75ECB">
        <w:rPr>
          <w:rFonts w:eastAsia="Verdana" w:cs="Verdana"/>
        </w:rPr>
        <w:t xml:space="preserve">De minister wenst net als ikzelf zoveel mogelijk te ontharden in Vlaanderen. Zij kende er zelfs diverse subsidies voor toe zodat water beter kan infiltreren. Toch hanteert de administratie Omgeving vaak eigenaardige interpretaties die volgens mij niet </w:t>
      </w:r>
      <w:r w:rsidR="00EA2E6C" w:rsidRPr="00E75ECB">
        <w:rPr>
          <w:rFonts w:eastAsia="Verdana" w:cs="Verdana"/>
        </w:rPr>
        <w:t xml:space="preserve">volgens </w:t>
      </w:r>
      <w:r w:rsidRPr="00E75ECB">
        <w:rPr>
          <w:rFonts w:eastAsia="Verdana" w:cs="Verdana"/>
        </w:rPr>
        <w:t xml:space="preserve">de geest van het decreet en </w:t>
      </w:r>
      <w:r w:rsidR="00EA2E6C" w:rsidRPr="00E75ECB">
        <w:rPr>
          <w:rFonts w:eastAsia="Verdana" w:cs="Verdana"/>
        </w:rPr>
        <w:t xml:space="preserve">het </w:t>
      </w:r>
      <w:r w:rsidRPr="00E75ECB">
        <w:rPr>
          <w:rFonts w:eastAsia="Verdana" w:cs="Verdana"/>
        </w:rPr>
        <w:t>vrijstelling</w:t>
      </w:r>
      <w:r w:rsidR="00EA2E6C" w:rsidRPr="00E75ECB">
        <w:rPr>
          <w:rFonts w:eastAsia="Verdana" w:cs="Verdana"/>
        </w:rPr>
        <w:t>s</w:t>
      </w:r>
      <w:r w:rsidRPr="00E75ECB">
        <w:rPr>
          <w:rFonts w:eastAsia="Verdana" w:cs="Verdana"/>
        </w:rPr>
        <w:t xml:space="preserve">besluit zijn en </w:t>
      </w:r>
      <w:r w:rsidR="00EA2E6C" w:rsidRPr="00E75ECB">
        <w:rPr>
          <w:rFonts w:eastAsia="Verdana" w:cs="Verdana"/>
        </w:rPr>
        <w:t xml:space="preserve">die </w:t>
      </w:r>
      <w:r w:rsidRPr="00E75ECB">
        <w:rPr>
          <w:rFonts w:eastAsia="Verdana" w:cs="Verdana"/>
        </w:rPr>
        <w:t>de uitvoering van ontharding vertragen.</w:t>
      </w:r>
    </w:p>
    <w:p w14:paraId="504C8D28" w14:textId="76AAB30F" w:rsidR="005014B9" w:rsidRPr="00E75ECB" w:rsidRDefault="00000000" w:rsidP="00EA3FC2">
      <w:pPr>
        <w:spacing w:after="120"/>
        <w:rPr>
          <w:rFonts w:ascii="Times New Roman" w:hAnsi="Times New Roman"/>
        </w:rPr>
      </w:pPr>
      <w:r w:rsidRPr="00E75ECB">
        <w:rPr>
          <w:rFonts w:eastAsia="Verdana" w:cs="Verdana"/>
        </w:rPr>
        <w:t>Inzake openbaar domein zouden we in Brugge veel vlugger kunnen ontharden op pleinen en ook in straten.</w:t>
      </w:r>
      <w:r w:rsidR="00751C76" w:rsidRPr="00E75ECB">
        <w:rPr>
          <w:rFonts w:eastAsia="Verdana" w:cs="Verdana"/>
        </w:rPr>
        <w:t xml:space="preserve"> </w:t>
      </w:r>
      <w:r w:rsidRPr="00E75ECB">
        <w:rPr>
          <w:rFonts w:eastAsia="Verdana" w:cs="Verdana"/>
        </w:rPr>
        <w:t xml:space="preserve">Nu beperken we ons tot 300 </w:t>
      </w:r>
      <w:r w:rsidR="00751C76" w:rsidRPr="00E75ECB">
        <w:rPr>
          <w:rFonts w:eastAsia="Verdana" w:cs="Verdana"/>
        </w:rPr>
        <w:t xml:space="preserve">vierkante meter </w:t>
      </w:r>
      <w:r w:rsidRPr="00E75ECB">
        <w:rPr>
          <w:rFonts w:eastAsia="Verdana" w:cs="Verdana"/>
        </w:rPr>
        <w:t xml:space="preserve">(vrijstelling) omdat een omgevingsvergunning tot </w:t>
      </w:r>
      <w:r w:rsidR="00751C76" w:rsidRPr="00E75ECB">
        <w:rPr>
          <w:rFonts w:eastAsia="Verdana" w:cs="Verdana"/>
        </w:rPr>
        <w:t xml:space="preserve">zes maanden </w:t>
      </w:r>
      <w:r w:rsidRPr="00E75ECB">
        <w:rPr>
          <w:rFonts w:eastAsia="Verdana" w:cs="Verdana"/>
        </w:rPr>
        <w:t>duurt, administratief tijd en geld kost.</w:t>
      </w:r>
      <w:r w:rsidR="00751C76" w:rsidRPr="00E75ECB">
        <w:rPr>
          <w:rFonts w:eastAsia="Verdana" w:cs="Verdana"/>
        </w:rPr>
        <w:t xml:space="preserve"> </w:t>
      </w:r>
      <w:r w:rsidRPr="00E75ECB">
        <w:rPr>
          <w:rFonts w:eastAsia="Verdana" w:cs="Verdana"/>
        </w:rPr>
        <w:t xml:space="preserve">Bovendien kan een bezwaarschrijver of </w:t>
      </w:r>
      <w:r w:rsidR="00751C76" w:rsidRPr="00E75ECB">
        <w:rPr>
          <w:rFonts w:eastAsia="Verdana" w:cs="Verdana"/>
        </w:rPr>
        <w:t xml:space="preserve">om het even </w:t>
      </w:r>
      <w:r w:rsidRPr="00E75ECB">
        <w:rPr>
          <w:rFonts w:eastAsia="Verdana" w:cs="Verdana"/>
        </w:rPr>
        <w:t xml:space="preserve">welke derde tegen de omgevingsvergunning beroep aantekenen zodat elk werk met betrekking tot </w:t>
      </w:r>
      <w:r w:rsidR="00E75ECB" w:rsidRPr="00E75ECB">
        <w:rPr>
          <w:rFonts w:eastAsia="Verdana" w:cs="Verdana"/>
        </w:rPr>
        <w:t xml:space="preserve">de </w:t>
      </w:r>
      <w:r w:rsidRPr="00E75ECB">
        <w:rPr>
          <w:rFonts w:eastAsia="Verdana" w:cs="Verdana"/>
        </w:rPr>
        <w:t>aanleg van gescheiden rioleringen</w:t>
      </w:r>
      <w:r w:rsidR="00EA3FC2" w:rsidRPr="00E75ECB">
        <w:rPr>
          <w:rFonts w:eastAsia="Verdana" w:cs="Verdana"/>
        </w:rPr>
        <w:t>,</w:t>
      </w:r>
      <w:r w:rsidRPr="00E75ECB">
        <w:rPr>
          <w:rFonts w:eastAsia="Verdana" w:cs="Verdana"/>
        </w:rPr>
        <w:t xml:space="preserve"> ook</w:t>
      </w:r>
      <w:r w:rsidR="00751C76" w:rsidRPr="00E75ECB">
        <w:rPr>
          <w:rFonts w:eastAsia="Verdana" w:cs="Verdana"/>
        </w:rPr>
        <w:t xml:space="preserve"> </w:t>
      </w:r>
      <w:r w:rsidRPr="00E75ECB">
        <w:rPr>
          <w:rFonts w:eastAsia="Verdana" w:cs="Verdana"/>
        </w:rPr>
        <w:t xml:space="preserve">de voorziene ontharding van meer dan 300 </w:t>
      </w:r>
      <w:r w:rsidR="00751C76" w:rsidRPr="00E75ECB">
        <w:rPr>
          <w:rFonts w:eastAsia="Verdana" w:cs="Verdana"/>
        </w:rPr>
        <w:t xml:space="preserve">vierkante </w:t>
      </w:r>
      <w:r w:rsidRPr="00E75ECB">
        <w:rPr>
          <w:rFonts w:eastAsia="Verdana" w:cs="Verdana"/>
        </w:rPr>
        <w:t>m</w:t>
      </w:r>
      <w:r w:rsidR="006E0249" w:rsidRPr="00E75ECB">
        <w:rPr>
          <w:rFonts w:eastAsia="Verdana" w:cs="Verdana"/>
        </w:rPr>
        <w:t>eter</w:t>
      </w:r>
      <w:r w:rsidR="00EA3FC2" w:rsidRPr="00E75ECB">
        <w:rPr>
          <w:rFonts w:eastAsia="Verdana" w:cs="Verdana"/>
        </w:rPr>
        <w:t>,</w:t>
      </w:r>
      <w:r w:rsidR="006E0249" w:rsidRPr="00E75ECB">
        <w:rPr>
          <w:rFonts w:eastAsia="Verdana" w:cs="Verdana"/>
        </w:rPr>
        <w:t xml:space="preserve"> </w:t>
      </w:r>
      <w:r w:rsidR="00E75ECB" w:rsidRPr="00E75ECB">
        <w:rPr>
          <w:rFonts w:eastAsia="Verdana" w:cs="Verdana"/>
        </w:rPr>
        <w:t>wordt ge</w:t>
      </w:r>
      <w:r w:rsidR="006E0249" w:rsidRPr="00E75ECB">
        <w:rPr>
          <w:rFonts w:eastAsia="Verdana" w:cs="Verdana"/>
        </w:rPr>
        <w:t>hypothekeer</w:t>
      </w:r>
      <w:r w:rsidR="00E75ECB" w:rsidRPr="00E75ECB">
        <w:rPr>
          <w:rFonts w:eastAsia="Verdana" w:cs="Verdana"/>
        </w:rPr>
        <w:t>d</w:t>
      </w:r>
      <w:r w:rsidRPr="00E75ECB">
        <w:rPr>
          <w:rFonts w:eastAsia="Verdana" w:cs="Verdana"/>
        </w:rPr>
        <w:t>. Bo</w:t>
      </w:r>
      <w:r w:rsidR="006E0249" w:rsidRPr="00E75ECB">
        <w:rPr>
          <w:rFonts w:eastAsia="Verdana" w:cs="Verdana"/>
        </w:rPr>
        <w:t>vendien</w:t>
      </w:r>
      <w:r w:rsidRPr="00E75ECB">
        <w:rPr>
          <w:rFonts w:eastAsia="Verdana" w:cs="Verdana"/>
        </w:rPr>
        <w:t xml:space="preserve"> zou een langere of brede straat (waar ontharding makkelijker 300 </w:t>
      </w:r>
      <w:r w:rsidR="00EA3FC2" w:rsidRPr="00E75ECB">
        <w:rPr>
          <w:rFonts w:eastAsia="Verdana" w:cs="Verdana"/>
        </w:rPr>
        <w:t xml:space="preserve">vierkante meter </w:t>
      </w:r>
      <w:r w:rsidRPr="00E75ECB">
        <w:rPr>
          <w:rFonts w:eastAsia="Verdana" w:cs="Verdana"/>
        </w:rPr>
        <w:t>bereikt in een plan) dan net verhard blijven omdat de procedure anders langer wordt.</w:t>
      </w:r>
    </w:p>
    <w:p w14:paraId="7F45C60B" w14:textId="1F6E5EE6" w:rsidR="005014B9" w:rsidRPr="00E75ECB" w:rsidRDefault="00000000" w:rsidP="00EA3FC2">
      <w:pPr>
        <w:spacing w:after="120"/>
        <w:rPr>
          <w:rFonts w:ascii="Times New Roman" w:hAnsi="Times New Roman"/>
        </w:rPr>
      </w:pPr>
      <w:r w:rsidRPr="00E75ECB">
        <w:rPr>
          <w:rFonts w:eastAsia="Verdana" w:cs="Verdana"/>
        </w:rPr>
        <w:t>Ik zie ontharding als een wijziging van verharding conform artikel 10 van het vrijstellingsbesluit. Ontharding is volgens mij een wijziging van verharding met het meest positieve effect op de omgeving.</w:t>
      </w:r>
    </w:p>
    <w:p w14:paraId="2066F6C2" w14:textId="77777777" w:rsidR="00551CED" w:rsidRDefault="00EA3FC2">
      <w:pPr>
        <w:spacing w:before="240"/>
        <w:rPr>
          <w:rFonts w:eastAsia="Verdana" w:cs="Verdana"/>
        </w:rPr>
      </w:pPr>
      <w:r w:rsidRPr="00E75ECB">
        <w:rPr>
          <w:rFonts w:eastAsia="Verdana" w:cs="Verdana"/>
        </w:rPr>
        <w:t>Artikel 10</w:t>
      </w:r>
      <w:r w:rsidR="00E75ECB" w:rsidRPr="00E75ECB">
        <w:rPr>
          <w:rFonts w:eastAsia="Verdana" w:cs="Verdana"/>
        </w:rPr>
        <w:t xml:space="preserve">, </w:t>
      </w:r>
      <w:r w:rsidRPr="00E75ECB">
        <w:rPr>
          <w:rFonts w:eastAsia="Verdana" w:cs="Verdana"/>
        </w:rPr>
        <w:t>hoofdstuk 10 ‘Openbaar domein’</w:t>
      </w:r>
      <w:r w:rsidR="00E75ECB" w:rsidRPr="00E75ECB">
        <w:rPr>
          <w:rFonts w:eastAsia="Verdana" w:cs="Verdana"/>
        </w:rPr>
        <w:t xml:space="preserve">, </w:t>
      </w:r>
      <w:r w:rsidRPr="00E75ECB">
        <w:rPr>
          <w:rFonts w:eastAsia="Verdana" w:cs="Verdana"/>
        </w:rPr>
        <w:t>van het vrijstellingsbesluit bepaalt: “Een omgevingsvergunning voor stedenbouwkundige handelingen is niet nodig voor de uitvoering van de volgende handelingen op openbaar domein of op een terrein dat na de handelingen tot het openbaar domein zal behoren:</w:t>
      </w:r>
    </w:p>
    <w:p w14:paraId="635A11D1" w14:textId="791291F6" w:rsidR="00551CED" w:rsidRDefault="00EA3FC2" w:rsidP="00551CED">
      <w:pPr>
        <w:tabs>
          <w:tab w:val="left" w:pos="426"/>
        </w:tabs>
        <w:spacing w:before="240"/>
        <w:ind w:left="426" w:hanging="426"/>
        <w:rPr>
          <w:rFonts w:eastAsia="Verdana" w:cs="Verdana"/>
        </w:rPr>
      </w:pPr>
      <w:r w:rsidRPr="00E75ECB">
        <w:rPr>
          <w:rFonts w:eastAsia="Verdana" w:cs="Verdana"/>
        </w:rPr>
        <w:t xml:space="preserve">1° </w:t>
      </w:r>
      <w:r w:rsidR="00551CED">
        <w:rPr>
          <w:rFonts w:eastAsia="Verdana" w:cs="Verdana"/>
        </w:rPr>
        <w:tab/>
      </w:r>
      <w:r w:rsidRPr="00E75ECB">
        <w:rPr>
          <w:rFonts w:eastAsia="Verdana" w:cs="Verdana"/>
        </w:rPr>
        <w:t>de aanleg van verhardingen waarvan de oppervlakte 300 vierkante meter of minder bedraagt, met een reliëfwijziging van minder dan 50 cm;</w:t>
      </w:r>
    </w:p>
    <w:p w14:paraId="414CCD84" w14:textId="770790BF" w:rsidR="00551CED" w:rsidRDefault="00EA3FC2" w:rsidP="00551CED">
      <w:pPr>
        <w:tabs>
          <w:tab w:val="left" w:pos="426"/>
        </w:tabs>
        <w:spacing w:before="240"/>
        <w:ind w:left="426" w:hanging="426"/>
        <w:rPr>
          <w:rFonts w:eastAsia="Verdana" w:cs="Verdana"/>
        </w:rPr>
      </w:pPr>
      <w:r w:rsidRPr="00E75ECB">
        <w:rPr>
          <w:rFonts w:eastAsia="Verdana" w:cs="Verdana"/>
        </w:rPr>
        <w:t xml:space="preserve">2° </w:t>
      </w:r>
      <w:r w:rsidR="00551CED">
        <w:rPr>
          <w:rFonts w:eastAsia="Verdana" w:cs="Verdana"/>
        </w:rPr>
        <w:tab/>
      </w:r>
      <w:r w:rsidRPr="00E75ECB">
        <w:rPr>
          <w:rFonts w:eastAsia="Verdana" w:cs="Verdana"/>
        </w:rPr>
        <w:t>het geheel of gedeeltelijk wijzigen van een bestaande verharding. De vrijstelling geldt niet als de bestaande weg een aardeweg, grindweg, steengruisweg of kasseiweg is of als de bestaande weg een waterdoorlatend karakter heeft;</w:t>
      </w:r>
    </w:p>
    <w:p w14:paraId="42649DF8" w14:textId="0802DCBE" w:rsidR="00551CED" w:rsidRDefault="00EA3FC2" w:rsidP="00551CED">
      <w:pPr>
        <w:tabs>
          <w:tab w:val="left" w:pos="426"/>
        </w:tabs>
        <w:spacing w:before="240"/>
        <w:ind w:left="426" w:hanging="426"/>
        <w:rPr>
          <w:rFonts w:eastAsia="Verdana" w:cs="Verdana"/>
        </w:rPr>
      </w:pPr>
      <w:r w:rsidRPr="00E75ECB">
        <w:rPr>
          <w:rFonts w:eastAsia="Verdana" w:cs="Verdana"/>
        </w:rPr>
        <w:t>3°</w:t>
      </w:r>
      <w:r w:rsidR="00551CED">
        <w:rPr>
          <w:rFonts w:eastAsia="Verdana" w:cs="Verdana"/>
        </w:rPr>
        <w:tab/>
      </w:r>
      <w:r w:rsidRPr="00E75ECB">
        <w:rPr>
          <w:rFonts w:eastAsia="Verdana" w:cs="Verdana"/>
        </w:rPr>
        <w:t xml:space="preserve">de aanleg van verhoogde kruispunten, verkeersdrempels en andere </w:t>
      </w:r>
      <w:proofErr w:type="spellStart"/>
      <w:r w:rsidRPr="00E75ECB">
        <w:rPr>
          <w:rFonts w:eastAsia="Verdana" w:cs="Verdana"/>
        </w:rPr>
        <w:t>verkeersremmende</w:t>
      </w:r>
      <w:proofErr w:type="spellEnd"/>
      <w:r w:rsidRPr="00E75ECB">
        <w:rPr>
          <w:rFonts w:eastAsia="Verdana" w:cs="Verdana"/>
        </w:rPr>
        <w:t xml:space="preserve"> ingrepen binnen de bestaande verhardingsbreedte;</w:t>
      </w:r>
    </w:p>
    <w:p w14:paraId="46610DFC" w14:textId="3DAC904C" w:rsidR="00551CED" w:rsidRDefault="00EA3FC2" w:rsidP="00551CED">
      <w:pPr>
        <w:tabs>
          <w:tab w:val="left" w:pos="426"/>
        </w:tabs>
        <w:spacing w:before="240"/>
        <w:ind w:left="426" w:hanging="426"/>
        <w:rPr>
          <w:rFonts w:eastAsia="Verdana" w:cs="Verdana"/>
        </w:rPr>
      </w:pPr>
      <w:r w:rsidRPr="00E75ECB">
        <w:rPr>
          <w:rFonts w:eastAsia="Verdana" w:cs="Verdana"/>
        </w:rPr>
        <w:t xml:space="preserve">4° </w:t>
      </w:r>
      <w:r w:rsidR="00551CED">
        <w:rPr>
          <w:rFonts w:eastAsia="Verdana" w:cs="Verdana"/>
        </w:rPr>
        <w:tab/>
      </w:r>
      <w:r w:rsidRPr="00E75ECB">
        <w:rPr>
          <w:rFonts w:eastAsia="Verdana" w:cs="Verdana"/>
        </w:rPr>
        <w:t xml:space="preserve">gebruikelijke ondergrondse constructies en aansluitingen, zoals installaties voor het transport of de distributie van drinkwater, afvalwater, elektriciteit, aardgas, warmte- en </w:t>
      </w:r>
      <w:proofErr w:type="spellStart"/>
      <w:r w:rsidRPr="00E75ECB">
        <w:rPr>
          <w:rFonts w:eastAsia="Verdana" w:cs="Verdana"/>
        </w:rPr>
        <w:t>koudenetleidingen</w:t>
      </w:r>
      <w:proofErr w:type="spellEnd"/>
      <w:r w:rsidRPr="00E75ECB">
        <w:rPr>
          <w:rFonts w:eastAsia="Verdana" w:cs="Verdana"/>
        </w:rPr>
        <w:t xml:space="preserve"> en andere nutsvoorzieningen;</w:t>
      </w:r>
    </w:p>
    <w:p w14:paraId="2028831C" w14:textId="77777777" w:rsidR="00551CED" w:rsidRDefault="00551CED" w:rsidP="00551CED">
      <w:pPr>
        <w:tabs>
          <w:tab w:val="left" w:pos="426"/>
        </w:tabs>
        <w:spacing w:before="240"/>
        <w:ind w:left="426" w:hanging="426"/>
        <w:rPr>
          <w:rFonts w:eastAsia="Verdana" w:cs="Verdana"/>
        </w:rPr>
      </w:pPr>
    </w:p>
    <w:p w14:paraId="6AFD9CCC" w14:textId="030A217B" w:rsidR="00551CED" w:rsidRDefault="00EA3FC2" w:rsidP="00551CED">
      <w:pPr>
        <w:tabs>
          <w:tab w:val="left" w:pos="426"/>
        </w:tabs>
        <w:rPr>
          <w:rFonts w:eastAsia="Verdana" w:cs="Verdana"/>
        </w:rPr>
      </w:pPr>
      <w:r w:rsidRPr="00E75ECB">
        <w:rPr>
          <w:rFonts w:eastAsia="Verdana" w:cs="Verdana"/>
        </w:rPr>
        <w:t xml:space="preserve">5° </w:t>
      </w:r>
      <w:r w:rsidR="00551CED">
        <w:rPr>
          <w:rFonts w:eastAsia="Verdana" w:cs="Verdana"/>
        </w:rPr>
        <w:tab/>
      </w:r>
      <w:r w:rsidRPr="00E75ECB">
        <w:rPr>
          <w:rFonts w:eastAsia="Verdana" w:cs="Verdana"/>
        </w:rPr>
        <w:t>gebruikelijke aanhorigheden;</w:t>
      </w:r>
    </w:p>
    <w:p w14:paraId="36B30ADB" w14:textId="77777777" w:rsidR="00551CED" w:rsidRDefault="00551CED" w:rsidP="00551CED">
      <w:pPr>
        <w:tabs>
          <w:tab w:val="left" w:pos="426"/>
        </w:tabs>
        <w:rPr>
          <w:rFonts w:eastAsia="Verdana" w:cs="Verdana"/>
        </w:rPr>
      </w:pPr>
    </w:p>
    <w:p w14:paraId="72D59690" w14:textId="04A8AAF0" w:rsidR="00551CED" w:rsidRDefault="00EA3FC2" w:rsidP="00551CED">
      <w:pPr>
        <w:tabs>
          <w:tab w:val="left" w:pos="426"/>
        </w:tabs>
        <w:ind w:left="426" w:hanging="426"/>
        <w:rPr>
          <w:rFonts w:eastAsia="Verdana" w:cs="Verdana"/>
        </w:rPr>
      </w:pPr>
      <w:r w:rsidRPr="00E75ECB">
        <w:rPr>
          <w:rFonts w:eastAsia="Verdana" w:cs="Verdana"/>
        </w:rPr>
        <w:t xml:space="preserve">6° </w:t>
      </w:r>
      <w:r w:rsidR="00551CED">
        <w:rPr>
          <w:rFonts w:eastAsia="Verdana" w:cs="Verdana"/>
        </w:rPr>
        <w:tab/>
      </w:r>
      <w:r w:rsidRPr="00E75ECB">
        <w:rPr>
          <w:rFonts w:eastAsia="Verdana" w:cs="Verdana"/>
        </w:rPr>
        <w:t>technische constructies van algemeen belang met een maximaal volume van 30 kubieke meter en een maximale hoogte van 5 meter;</w:t>
      </w:r>
    </w:p>
    <w:p w14:paraId="55B277C0" w14:textId="77777777" w:rsidR="00551CED" w:rsidRDefault="00551CED" w:rsidP="00551CED">
      <w:pPr>
        <w:tabs>
          <w:tab w:val="left" w:pos="426"/>
        </w:tabs>
        <w:ind w:left="426" w:hanging="426"/>
        <w:rPr>
          <w:rFonts w:eastAsia="Verdana" w:cs="Verdana"/>
        </w:rPr>
      </w:pPr>
    </w:p>
    <w:p w14:paraId="1C9EE5C9" w14:textId="524783E0" w:rsidR="00551CED" w:rsidRDefault="00EA3FC2" w:rsidP="00551CED">
      <w:pPr>
        <w:tabs>
          <w:tab w:val="left" w:pos="426"/>
        </w:tabs>
        <w:ind w:left="426" w:hanging="426"/>
        <w:rPr>
          <w:rFonts w:eastAsia="Verdana" w:cs="Verdana"/>
        </w:rPr>
      </w:pPr>
      <w:r w:rsidRPr="00E75ECB">
        <w:rPr>
          <w:rFonts w:eastAsia="Verdana" w:cs="Verdana"/>
        </w:rPr>
        <w:t xml:space="preserve">7° </w:t>
      </w:r>
      <w:r w:rsidR="00551CED">
        <w:rPr>
          <w:rFonts w:eastAsia="Verdana" w:cs="Verdana"/>
        </w:rPr>
        <w:tab/>
      </w:r>
      <w:r w:rsidRPr="00E75ECB">
        <w:rPr>
          <w:rFonts w:eastAsia="Verdana" w:cs="Verdana"/>
        </w:rPr>
        <w:t xml:space="preserve">de ondergrondse </w:t>
      </w:r>
      <w:proofErr w:type="spellStart"/>
      <w:r w:rsidRPr="00E75ECB">
        <w:rPr>
          <w:rFonts w:eastAsia="Verdana" w:cs="Verdana"/>
        </w:rPr>
        <w:t>aanhoging</w:t>
      </w:r>
      <w:proofErr w:type="spellEnd"/>
      <w:r w:rsidRPr="00E75ECB">
        <w:rPr>
          <w:rFonts w:eastAsia="Verdana" w:cs="Verdana"/>
        </w:rPr>
        <w:t xml:space="preserve"> of uitdieping van waterlichamen of de versteviging van oevers, voor zover deze niet gelegen zijn in een ruimtelijk kwetsbaar gebied en het project niet voor komt op bijlage I en II van het besluit van de Vlaamse Regering van 10 december 2004 houdende vaststelling van de categorieën van projecten onderworpen aan milieueffectrapportage;</w:t>
      </w:r>
    </w:p>
    <w:p w14:paraId="1C9B04D7" w14:textId="77777777" w:rsidR="00551CED" w:rsidRDefault="00551CED" w:rsidP="00551CED">
      <w:pPr>
        <w:tabs>
          <w:tab w:val="left" w:pos="426"/>
        </w:tabs>
        <w:ind w:left="426" w:hanging="426"/>
        <w:rPr>
          <w:rFonts w:eastAsia="Verdana" w:cs="Verdana"/>
        </w:rPr>
      </w:pPr>
    </w:p>
    <w:p w14:paraId="0708F29A" w14:textId="52CBF35E" w:rsidR="00551CED" w:rsidRDefault="00EA3FC2" w:rsidP="00551CED">
      <w:pPr>
        <w:tabs>
          <w:tab w:val="left" w:pos="426"/>
        </w:tabs>
        <w:ind w:left="426" w:hanging="426"/>
        <w:rPr>
          <w:rFonts w:eastAsia="Verdana" w:cs="Verdana"/>
        </w:rPr>
      </w:pPr>
      <w:r w:rsidRPr="00E75ECB">
        <w:rPr>
          <w:rFonts w:eastAsia="Verdana" w:cs="Verdana"/>
        </w:rPr>
        <w:t xml:space="preserve">8° </w:t>
      </w:r>
      <w:r w:rsidR="00551CED">
        <w:rPr>
          <w:rFonts w:eastAsia="Verdana" w:cs="Verdana"/>
        </w:rPr>
        <w:tab/>
      </w:r>
      <w:r w:rsidRPr="00E75ECB">
        <w:rPr>
          <w:rFonts w:eastAsia="Verdana" w:cs="Verdana"/>
        </w:rPr>
        <w:t>waterbeheersingswerkzaamheden die niet zonder acuut gevaar of schade kunnen worden uitgesteld, zoals het doorbreken van waterkeringen bij rechtstreeks overstromingsgevaar;</w:t>
      </w:r>
    </w:p>
    <w:p w14:paraId="75443CC1" w14:textId="77777777" w:rsidR="00551CED" w:rsidRDefault="00551CED" w:rsidP="00551CED">
      <w:pPr>
        <w:tabs>
          <w:tab w:val="left" w:pos="426"/>
        </w:tabs>
        <w:ind w:left="426" w:hanging="426"/>
        <w:rPr>
          <w:rFonts w:eastAsia="Verdana" w:cs="Verdana"/>
        </w:rPr>
      </w:pPr>
    </w:p>
    <w:p w14:paraId="7B05C784" w14:textId="2F0980B1" w:rsidR="00551CED" w:rsidRDefault="00EA3FC2" w:rsidP="00551CED">
      <w:pPr>
        <w:tabs>
          <w:tab w:val="left" w:pos="426"/>
        </w:tabs>
        <w:ind w:left="426" w:hanging="426"/>
        <w:rPr>
          <w:rFonts w:eastAsia="Verdana" w:cs="Verdana"/>
        </w:rPr>
      </w:pPr>
      <w:r w:rsidRPr="00E75ECB">
        <w:rPr>
          <w:rFonts w:eastAsia="Verdana" w:cs="Verdana"/>
        </w:rPr>
        <w:t xml:space="preserve">9° </w:t>
      </w:r>
      <w:r w:rsidR="00551CED">
        <w:rPr>
          <w:rFonts w:eastAsia="Verdana" w:cs="Verdana"/>
        </w:rPr>
        <w:tab/>
      </w:r>
      <w:r w:rsidRPr="00E75ECB">
        <w:rPr>
          <w:rFonts w:eastAsia="Verdana" w:cs="Verdana"/>
        </w:rPr>
        <w:t>strand- en duinophogingen, strand- en duinverbredingen, het slopen van niet meer gebruikte strandhoofden;</w:t>
      </w:r>
    </w:p>
    <w:p w14:paraId="1A9AD1AE" w14:textId="77777777" w:rsidR="00551CED" w:rsidRDefault="00551CED" w:rsidP="00551CED">
      <w:pPr>
        <w:tabs>
          <w:tab w:val="left" w:pos="426"/>
        </w:tabs>
        <w:ind w:left="426" w:hanging="426"/>
        <w:rPr>
          <w:rFonts w:eastAsia="Verdana" w:cs="Verdana"/>
        </w:rPr>
      </w:pPr>
    </w:p>
    <w:p w14:paraId="30DE7835" w14:textId="0317CC22" w:rsidR="00551CED" w:rsidRDefault="00EA3FC2" w:rsidP="00551CED">
      <w:pPr>
        <w:tabs>
          <w:tab w:val="left" w:pos="426"/>
        </w:tabs>
        <w:rPr>
          <w:rFonts w:eastAsia="Verdana" w:cs="Verdana"/>
        </w:rPr>
      </w:pPr>
      <w:r w:rsidRPr="00E75ECB">
        <w:rPr>
          <w:rFonts w:eastAsia="Verdana" w:cs="Verdana"/>
        </w:rPr>
        <w:t>10°</w:t>
      </w:r>
      <w:r w:rsidR="00551CED">
        <w:rPr>
          <w:rFonts w:eastAsia="Verdana" w:cs="Verdana"/>
        </w:rPr>
        <w:tab/>
      </w:r>
      <w:r w:rsidRPr="00E75ECB">
        <w:rPr>
          <w:rFonts w:eastAsia="Verdana" w:cs="Verdana"/>
        </w:rPr>
        <w:t>de plaatsing van seizoensgebonden, niet-overdekte terrassen bij horecazaken;</w:t>
      </w:r>
    </w:p>
    <w:p w14:paraId="42FEE9A0" w14:textId="77777777" w:rsidR="00551CED" w:rsidRDefault="00551CED" w:rsidP="00551CED">
      <w:pPr>
        <w:tabs>
          <w:tab w:val="left" w:pos="426"/>
        </w:tabs>
        <w:rPr>
          <w:rFonts w:eastAsia="Verdana" w:cs="Verdana"/>
        </w:rPr>
      </w:pPr>
    </w:p>
    <w:p w14:paraId="41732300" w14:textId="467AFAEE" w:rsidR="00551CED" w:rsidRDefault="00EA3FC2" w:rsidP="00551CED">
      <w:pPr>
        <w:tabs>
          <w:tab w:val="left" w:pos="426"/>
        </w:tabs>
        <w:rPr>
          <w:rFonts w:eastAsia="Verdana" w:cs="Verdana"/>
        </w:rPr>
      </w:pPr>
      <w:r w:rsidRPr="00E75ECB">
        <w:rPr>
          <w:rFonts w:eastAsia="Verdana" w:cs="Verdana"/>
        </w:rPr>
        <w:t>11°</w:t>
      </w:r>
      <w:r w:rsidR="00551CED">
        <w:rPr>
          <w:rFonts w:eastAsia="Verdana" w:cs="Verdana"/>
        </w:rPr>
        <w:tab/>
      </w:r>
      <w:r w:rsidRPr="00E75ECB">
        <w:rPr>
          <w:rFonts w:eastAsia="Verdana" w:cs="Verdana"/>
        </w:rPr>
        <w:t>kleinschalige faunavoorzieningen langs wegen, spoorwegen en waterlopen.</w:t>
      </w:r>
    </w:p>
    <w:p w14:paraId="76F955C6" w14:textId="77777777" w:rsidR="00551CED" w:rsidRDefault="00551CED" w:rsidP="00551CED">
      <w:pPr>
        <w:tabs>
          <w:tab w:val="left" w:pos="426"/>
        </w:tabs>
        <w:rPr>
          <w:rFonts w:eastAsia="Verdana" w:cs="Verdana"/>
        </w:rPr>
      </w:pPr>
    </w:p>
    <w:p w14:paraId="6C0843B3" w14:textId="4739D532" w:rsidR="005014B9" w:rsidRPr="00E75ECB" w:rsidRDefault="00EA3FC2" w:rsidP="00551CED">
      <w:pPr>
        <w:tabs>
          <w:tab w:val="left" w:pos="426"/>
        </w:tabs>
        <w:ind w:left="426" w:hanging="426"/>
        <w:rPr>
          <w:rFonts w:ascii="Times New Roman" w:hAnsi="Times New Roman"/>
        </w:rPr>
      </w:pPr>
      <w:r w:rsidRPr="00E75ECB">
        <w:rPr>
          <w:rFonts w:eastAsia="Verdana" w:cs="Verdana"/>
        </w:rPr>
        <w:t>12°</w:t>
      </w:r>
      <w:r w:rsidR="00551CED">
        <w:rPr>
          <w:rFonts w:eastAsia="Verdana" w:cs="Verdana"/>
        </w:rPr>
        <w:tab/>
      </w:r>
      <w:r w:rsidRPr="00E75ECB">
        <w:rPr>
          <w:rFonts w:eastAsia="Verdana" w:cs="Verdana"/>
        </w:rPr>
        <w:t xml:space="preserve">de plaatsing van glasbollen, kledingcontainers en andere boven- of ondergrondse houders voor de selectieve verzameling en </w:t>
      </w:r>
      <w:proofErr w:type="spellStart"/>
      <w:r w:rsidRPr="00E75ECB">
        <w:rPr>
          <w:rFonts w:eastAsia="Verdana" w:cs="Verdana"/>
        </w:rPr>
        <w:t>ophaling</w:t>
      </w:r>
      <w:proofErr w:type="spellEnd"/>
      <w:r w:rsidRPr="00E75ECB">
        <w:rPr>
          <w:rFonts w:eastAsia="Verdana" w:cs="Verdana"/>
        </w:rPr>
        <w:t xml:space="preserve"> van afval, als de gezamenlijke oppervlakte kleiner is dan twintig vierkante meter.”</w:t>
      </w:r>
    </w:p>
    <w:p w14:paraId="0D6A8792" w14:textId="77777777" w:rsidR="00551CED" w:rsidRDefault="00551CED" w:rsidP="00551CED">
      <w:pPr>
        <w:rPr>
          <w:rFonts w:eastAsia="Verdana" w:cs="Verdana"/>
        </w:rPr>
      </w:pPr>
    </w:p>
    <w:p w14:paraId="20A58026" w14:textId="0FC47C46" w:rsidR="00EA3FC2" w:rsidRDefault="00000000" w:rsidP="00551CED">
      <w:pPr>
        <w:rPr>
          <w:rFonts w:eastAsia="Verdana" w:cs="Verdana"/>
        </w:rPr>
      </w:pPr>
      <w:r w:rsidRPr="00E75ECB">
        <w:rPr>
          <w:rFonts w:eastAsia="Verdana" w:cs="Verdana"/>
        </w:rPr>
        <w:t xml:space="preserve">De administratie stelt: “Met het wijzigen van verharding wordt het vervangen van verharding door een ander soort verharding bedoeld. Het uitbreken van de verharding valt hier niet onder. Dus vanaf 300 </w:t>
      </w:r>
      <w:r w:rsidR="00EA3FC2" w:rsidRPr="00E75ECB">
        <w:rPr>
          <w:rFonts w:eastAsia="Verdana" w:cs="Verdana"/>
        </w:rPr>
        <w:t xml:space="preserve">vierkante </w:t>
      </w:r>
      <w:r w:rsidRPr="00E75ECB">
        <w:rPr>
          <w:rFonts w:eastAsia="Verdana" w:cs="Verdana"/>
        </w:rPr>
        <w:t xml:space="preserve">ontharding is een omgevingsvergunning noodzakelijk.” </w:t>
      </w:r>
      <w:r w:rsidR="00EA3FC2" w:rsidRPr="00E75ECB">
        <w:rPr>
          <w:rFonts w:eastAsia="Verdana" w:cs="Verdana"/>
        </w:rPr>
        <w:t>Dat is p</w:t>
      </w:r>
      <w:r w:rsidRPr="00E75ECB">
        <w:rPr>
          <w:rFonts w:eastAsia="Verdana" w:cs="Verdana"/>
        </w:rPr>
        <w:t>u</w:t>
      </w:r>
      <w:r w:rsidR="00EA3FC2" w:rsidRPr="00E75ECB">
        <w:rPr>
          <w:rFonts w:eastAsia="Verdana" w:cs="Verdana"/>
        </w:rPr>
        <w:t>u</w:t>
      </w:r>
      <w:r w:rsidRPr="00E75ECB">
        <w:rPr>
          <w:rFonts w:eastAsia="Verdana" w:cs="Verdana"/>
        </w:rPr>
        <w:t xml:space="preserve">r </w:t>
      </w:r>
      <w:proofErr w:type="spellStart"/>
      <w:r w:rsidRPr="00E75ECB">
        <w:rPr>
          <w:rFonts w:eastAsia="Verdana" w:cs="Verdana"/>
        </w:rPr>
        <w:t>Kafka</w:t>
      </w:r>
      <w:proofErr w:type="spellEnd"/>
      <w:r w:rsidRPr="00E75ECB">
        <w:rPr>
          <w:rFonts w:eastAsia="Verdana" w:cs="Verdana"/>
        </w:rPr>
        <w:t>.</w:t>
      </w:r>
    </w:p>
    <w:p w14:paraId="7FE03363" w14:textId="77777777" w:rsidR="00551CED" w:rsidRPr="00E75ECB" w:rsidRDefault="00551CED" w:rsidP="00551CED">
      <w:pPr>
        <w:rPr>
          <w:rFonts w:eastAsia="Verdana"/>
        </w:rPr>
      </w:pPr>
    </w:p>
    <w:p w14:paraId="02F3E515" w14:textId="1FA6C6AB" w:rsidR="005014B9" w:rsidRPr="00E75ECB" w:rsidRDefault="00000000" w:rsidP="00EA3FC2">
      <w:pPr>
        <w:pStyle w:val="Nummering"/>
        <w:rPr>
          <w:lang w:val="nl-NL"/>
        </w:rPr>
      </w:pPr>
      <w:r w:rsidRPr="00E75ECB">
        <w:rPr>
          <w:rFonts w:eastAsia="Verdana"/>
          <w:lang w:val="nl-NL"/>
        </w:rPr>
        <w:t>Kan de min</w:t>
      </w:r>
      <w:r w:rsidR="00EA3FC2" w:rsidRPr="00E75ECB">
        <w:rPr>
          <w:rFonts w:eastAsia="Verdana"/>
          <w:lang w:val="nl-NL"/>
        </w:rPr>
        <w:t>i</w:t>
      </w:r>
      <w:r w:rsidRPr="00E75ECB">
        <w:rPr>
          <w:rFonts w:eastAsia="Verdana"/>
          <w:lang w:val="nl-NL"/>
        </w:rPr>
        <w:t xml:space="preserve">ster bevestigen dat </w:t>
      </w:r>
      <w:r w:rsidR="00EA3FC2" w:rsidRPr="00E75ECB">
        <w:rPr>
          <w:rFonts w:eastAsia="Verdana"/>
          <w:lang w:val="nl-NL"/>
        </w:rPr>
        <w:t xml:space="preserve">het </w:t>
      </w:r>
      <w:r w:rsidRPr="00E75ECB">
        <w:rPr>
          <w:rFonts w:eastAsia="Verdana"/>
          <w:lang w:val="nl-NL"/>
        </w:rPr>
        <w:t>wijzigen van verharding naar ontharding tevens als een wijziging van verharding moet worden beschouwd</w:t>
      </w:r>
      <w:r w:rsidR="00EA3FC2" w:rsidRPr="00E75ECB">
        <w:rPr>
          <w:rFonts w:eastAsia="Verdana"/>
          <w:lang w:val="nl-NL"/>
        </w:rPr>
        <w:t>, en dat</w:t>
      </w:r>
      <w:r w:rsidR="00E75ECB" w:rsidRPr="00E75ECB">
        <w:rPr>
          <w:rFonts w:eastAsia="Verdana"/>
          <w:lang w:val="nl-NL"/>
        </w:rPr>
        <w:t xml:space="preserve"> </w:t>
      </w:r>
      <w:r w:rsidR="00EA3FC2" w:rsidRPr="00E75ECB">
        <w:rPr>
          <w:rFonts w:eastAsia="Verdana"/>
          <w:lang w:val="nl-NL"/>
        </w:rPr>
        <w:t xml:space="preserve">als gevolg daarvan </w:t>
      </w:r>
      <w:r w:rsidRPr="00E75ECB">
        <w:rPr>
          <w:rFonts w:eastAsia="Verdana"/>
          <w:lang w:val="nl-NL"/>
        </w:rPr>
        <w:t xml:space="preserve">ontharding onder de vrijstelling valt en een omgevingsvergunning niet nodig is als er meer dan 300 </w:t>
      </w:r>
      <w:r w:rsidR="00EA3FC2" w:rsidRPr="00E75ECB">
        <w:rPr>
          <w:rFonts w:eastAsia="Verdana"/>
          <w:lang w:val="nl-NL"/>
        </w:rPr>
        <w:t xml:space="preserve">vierkante meter </w:t>
      </w:r>
      <w:r w:rsidRPr="00E75ECB">
        <w:rPr>
          <w:rFonts w:eastAsia="Verdana"/>
          <w:lang w:val="nl-NL"/>
        </w:rPr>
        <w:t>onthard wordt</w:t>
      </w:r>
      <w:r w:rsidR="00EA3FC2" w:rsidRPr="00E75ECB">
        <w:rPr>
          <w:rFonts w:eastAsia="Verdana"/>
          <w:lang w:val="nl-NL"/>
        </w:rPr>
        <w:t>?</w:t>
      </w:r>
    </w:p>
    <w:p w14:paraId="08D1A5E1" w14:textId="2384DDC3" w:rsidR="005014B9" w:rsidRPr="00E75ECB" w:rsidRDefault="00000000" w:rsidP="00EA3FC2">
      <w:pPr>
        <w:pStyle w:val="Nummering"/>
        <w:rPr>
          <w:lang w:val="nl-NL"/>
        </w:rPr>
      </w:pPr>
      <w:r w:rsidRPr="00E75ECB">
        <w:rPr>
          <w:rFonts w:eastAsia="Verdana"/>
          <w:lang w:val="nl-NL"/>
        </w:rPr>
        <w:t xml:space="preserve">Kan ontharding steeds als een werk beschouwd worden met </w:t>
      </w:r>
      <w:r w:rsidR="00EA3FC2" w:rsidRPr="00E75ECB">
        <w:rPr>
          <w:rFonts w:eastAsia="Verdana"/>
          <w:lang w:val="nl-NL"/>
        </w:rPr>
        <w:t xml:space="preserve">een </w:t>
      </w:r>
      <w:r w:rsidRPr="00E75ECB">
        <w:rPr>
          <w:rFonts w:eastAsia="Verdana"/>
          <w:lang w:val="nl-NL"/>
        </w:rPr>
        <w:t>positieve ruimtelijke impact?</w:t>
      </w:r>
    </w:p>
    <w:p w14:paraId="2F140693" w14:textId="4B9C4C7D" w:rsidR="005014B9" w:rsidRPr="00E75ECB" w:rsidRDefault="00AA51DF" w:rsidP="00EA3FC2">
      <w:pPr>
        <w:pStyle w:val="Nummering"/>
        <w:rPr>
          <w:lang w:val="nl-NL"/>
        </w:rPr>
      </w:pPr>
      <w:r>
        <w:rPr>
          <w:rFonts w:eastAsia="Verdana"/>
          <w:lang w:val="nl-NL"/>
        </w:rPr>
        <w:t>Zal</w:t>
      </w:r>
      <w:r w:rsidR="00000000" w:rsidRPr="00E75ECB">
        <w:rPr>
          <w:rFonts w:eastAsia="Verdana"/>
          <w:lang w:val="nl-NL"/>
        </w:rPr>
        <w:t xml:space="preserve"> </w:t>
      </w:r>
      <w:r w:rsidR="00EA3FC2" w:rsidRPr="00E75ECB">
        <w:rPr>
          <w:rFonts w:eastAsia="Verdana"/>
          <w:lang w:val="nl-NL"/>
        </w:rPr>
        <w:t xml:space="preserve">de minister </w:t>
      </w:r>
      <w:r w:rsidR="00000000" w:rsidRPr="00E75ECB">
        <w:rPr>
          <w:rFonts w:eastAsia="Verdana"/>
          <w:lang w:val="nl-NL"/>
        </w:rPr>
        <w:t xml:space="preserve">een omzendbrief </w:t>
      </w:r>
      <w:r w:rsidR="00EA3FC2" w:rsidRPr="00E75ECB">
        <w:rPr>
          <w:rFonts w:eastAsia="Verdana"/>
          <w:lang w:val="nl-NL"/>
        </w:rPr>
        <w:t xml:space="preserve">met die </w:t>
      </w:r>
      <w:r w:rsidR="00E75ECB" w:rsidRPr="00E75ECB">
        <w:rPr>
          <w:rFonts w:eastAsia="Verdana"/>
          <w:lang w:val="nl-NL"/>
        </w:rPr>
        <w:t xml:space="preserve">interpretatie </w:t>
      </w:r>
      <w:r w:rsidR="00EA3FC2" w:rsidRPr="00E75ECB">
        <w:rPr>
          <w:rFonts w:eastAsia="Verdana"/>
          <w:lang w:val="nl-NL"/>
        </w:rPr>
        <w:t xml:space="preserve">sturen </w:t>
      </w:r>
      <w:r w:rsidR="00000000" w:rsidRPr="00E75ECB">
        <w:rPr>
          <w:rFonts w:eastAsia="Verdana"/>
          <w:lang w:val="nl-NL"/>
        </w:rPr>
        <w:t>naar steden en gemeenten?</w:t>
      </w:r>
    </w:p>
    <w:p w14:paraId="5A51F198" w14:textId="6C4FD1D6" w:rsidR="005014B9" w:rsidRPr="00E75ECB" w:rsidRDefault="00433D5C" w:rsidP="00EA3FC2">
      <w:pPr>
        <w:pStyle w:val="Nummering"/>
        <w:rPr>
          <w:lang w:val="nl-NL"/>
        </w:rPr>
      </w:pPr>
      <w:r>
        <w:rPr>
          <w:rFonts w:eastAsia="Verdana"/>
          <w:lang w:val="nl-NL"/>
        </w:rPr>
        <w:t xml:space="preserve">Zal de minister een initiatief nemen om </w:t>
      </w:r>
      <w:r w:rsidR="00000000" w:rsidRPr="00E75ECB">
        <w:rPr>
          <w:rFonts w:eastAsia="Verdana"/>
          <w:lang w:val="nl-NL"/>
        </w:rPr>
        <w:t xml:space="preserve">het besluit aan te passen en </w:t>
      </w:r>
      <w:proofErr w:type="spellStart"/>
      <w:r w:rsidR="00000000" w:rsidRPr="00E75ECB">
        <w:rPr>
          <w:rFonts w:eastAsia="Verdana"/>
          <w:lang w:val="nl-NL"/>
        </w:rPr>
        <w:t>onthardingen</w:t>
      </w:r>
      <w:proofErr w:type="spellEnd"/>
      <w:r w:rsidR="00000000" w:rsidRPr="00E75ECB">
        <w:rPr>
          <w:rFonts w:eastAsia="Verdana"/>
          <w:lang w:val="nl-NL"/>
        </w:rPr>
        <w:t xml:space="preserve"> bij wegenwerken en op openbaar domein vrij te stellen, minstens tot 3000 </w:t>
      </w:r>
      <w:r w:rsidR="00EA3FC2" w:rsidRPr="00E75ECB">
        <w:rPr>
          <w:rFonts w:eastAsia="Verdana"/>
          <w:lang w:val="nl-NL"/>
        </w:rPr>
        <w:t xml:space="preserve">vierkante meter </w:t>
      </w:r>
      <w:r w:rsidR="00000000" w:rsidRPr="00E75ECB">
        <w:rPr>
          <w:rFonts w:eastAsia="Verdana"/>
          <w:lang w:val="nl-NL"/>
        </w:rPr>
        <w:t xml:space="preserve">per straat of 5000 </w:t>
      </w:r>
      <w:r w:rsidR="00EA3FC2" w:rsidRPr="00E75ECB">
        <w:rPr>
          <w:rFonts w:eastAsia="Verdana"/>
          <w:lang w:val="nl-NL"/>
        </w:rPr>
        <w:t xml:space="preserve">vierkante meter </w:t>
      </w:r>
      <w:r w:rsidR="00000000" w:rsidRPr="00E75ECB">
        <w:rPr>
          <w:rFonts w:eastAsia="Verdana"/>
          <w:lang w:val="nl-NL"/>
        </w:rPr>
        <w:t xml:space="preserve">per plein (van plein naar park, van verharde site naar </w:t>
      </w:r>
      <w:r w:rsidR="00EA3FC2" w:rsidRPr="00E75ECB">
        <w:rPr>
          <w:rFonts w:eastAsia="Verdana"/>
          <w:lang w:val="nl-NL"/>
        </w:rPr>
        <w:t xml:space="preserve">te </w:t>
      </w:r>
      <w:r w:rsidR="00000000" w:rsidRPr="00E75ECB">
        <w:rPr>
          <w:rFonts w:eastAsia="Verdana"/>
          <w:lang w:val="nl-NL"/>
        </w:rPr>
        <w:t>ontharden site)?</w:t>
      </w:r>
    </w:p>
    <w:sectPr w:rsidR="005014B9" w:rsidRPr="00E75EC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A592" w14:textId="77777777" w:rsidR="00446876" w:rsidRDefault="00446876">
      <w:r>
        <w:separator/>
      </w:r>
    </w:p>
  </w:endnote>
  <w:endnote w:type="continuationSeparator" w:id="0">
    <w:p w14:paraId="75F223A3" w14:textId="77777777" w:rsidR="00446876" w:rsidRDefault="004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0FF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4851926"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6E4" w14:textId="77777777" w:rsidR="00D75FB1" w:rsidRDefault="00000000" w:rsidP="001A6DC6">
    <w:pPr>
      <w:pStyle w:val="Voettekst"/>
      <w:framePr w:wrap="around" w:vAnchor="text" w:hAnchor="margin" w:xAlign="right" w:y="1"/>
      <w:rPr>
        <w:rStyle w:val="Paginanummer"/>
      </w:rPr>
    </w:pPr>
  </w:p>
  <w:p w14:paraId="39106D21"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B8EA" w14:textId="77777777" w:rsidR="00204C10" w:rsidRDefault="00000000">
    <w:pPr>
      <w:pStyle w:val="Voettekst"/>
    </w:pPr>
    <w:r>
      <w:rPr>
        <w:noProof/>
      </w:rPr>
      <w:drawing>
        <wp:anchor distT="0" distB="0" distL="114300" distR="114300" simplePos="0" relativeHeight="251658240" behindDoc="0" locked="0" layoutInCell="1" allowOverlap="1" wp14:anchorId="48826130" wp14:editId="4CD73D90">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EAE4" w14:textId="77777777" w:rsidR="00446876" w:rsidRDefault="00446876">
      <w:r>
        <w:separator/>
      </w:r>
    </w:p>
  </w:footnote>
  <w:footnote w:type="continuationSeparator" w:id="0">
    <w:p w14:paraId="5C775530" w14:textId="77777777" w:rsidR="00446876" w:rsidRDefault="0044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836"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04415DC"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5D6A206A">
      <w:start w:val="1"/>
      <w:numFmt w:val="decimal"/>
      <w:lvlText w:val="%1."/>
      <w:lvlJc w:val="left"/>
      <w:pPr>
        <w:tabs>
          <w:tab w:val="num" w:pos="360"/>
        </w:tabs>
        <w:ind w:left="360" w:hanging="360"/>
      </w:pPr>
    </w:lvl>
    <w:lvl w:ilvl="1" w:tplc="F4F4BF6E" w:tentative="1">
      <w:start w:val="1"/>
      <w:numFmt w:val="lowerLetter"/>
      <w:lvlText w:val="%2."/>
      <w:lvlJc w:val="left"/>
      <w:pPr>
        <w:tabs>
          <w:tab w:val="num" w:pos="1080"/>
        </w:tabs>
        <w:ind w:left="1080" w:hanging="360"/>
      </w:pPr>
    </w:lvl>
    <w:lvl w:ilvl="2" w:tplc="7E26144A" w:tentative="1">
      <w:start w:val="1"/>
      <w:numFmt w:val="lowerRoman"/>
      <w:lvlText w:val="%3."/>
      <w:lvlJc w:val="right"/>
      <w:pPr>
        <w:tabs>
          <w:tab w:val="num" w:pos="1800"/>
        </w:tabs>
        <w:ind w:left="1800" w:hanging="180"/>
      </w:pPr>
    </w:lvl>
    <w:lvl w:ilvl="3" w:tplc="D99A8D2E" w:tentative="1">
      <w:start w:val="1"/>
      <w:numFmt w:val="decimal"/>
      <w:lvlText w:val="%4."/>
      <w:lvlJc w:val="left"/>
      <w:pPr>
        <w:tabs>
          <w:tab w:val="num" w:pos="2520"/>
        </w:tabs>
        <w:ind w:left="2520" w:hanging="360"/>
      </w:pPr>
    </w:lvl>
    <w:lvl w:ilvl="4" w:tplc="8E0617BA" w:tentative="1">
      <w:start w:val="1"/>
      <w:numFmt w:val="lowerLetter"/>
      <w:lvlText w:val="%5."/>
      <w:lvlJc w:val="left"/>
      <w:pPr>
        <w:tabs>
          <w:tab w:val="num" w:pos="3240"/>
        </w:tabs>
        <w:ind w:left="3240" w:hanging="360"/>
      </w:pPr>
    </w:lvl>
    <w:lvl w:ilvl="5" w:tplc="9266D07E" w:tentative="1">
      <w:start w:val="1"/>
      <w:numFmt w:val="lowerRoman"/>
      <w:lvlText w:val="%6."/>
      <w:lvlJc w:val="right"/>
      <w:pPr>
        <w:tabs>
          <w:tab w:val="num" w:pos="3960"/>
        </w:tabs>
        <w:ind w:left="3960" w:hanging="180"/>
      </w:pPr>
    </w:lvl>
    <w:lvl w:ilvl="6" w:tplc="FF0AC906" w:tentative="1">
      <w:start w:val="1"/>
      <w:numFmt w:val="decimal"/>
      <w:lvlText w:val="%7."/>
      <w:lvlJc w:val="left"/>
      <w:pPr>
        <w:tabs>
          <w:tab w:val="num" w:pos="4680"/>
        </w:tabs>
        <w:ind w:left="4680" w:hanging="360"/>
      </w:pPr>
    </w:lvl>
    <w:lvl w:ilvl="7" w:tplc="7A0C7BA6" w:tentative="1">
      <w:start w:val="1"/>
      <w:numFmt w:val="lowerLetter"/>
      <w:lvlText w:val="%8."/>
      <w:lvlJc w:val="left"/>
      <w:pPr>
        <w:tabs>
          <w:tab w:val="num" w:pos="5400"/>
        </w:tabs>
        <w:ind w:left="5400" w:hanging="360"/>
      </w:pPr>
    </w:lvl>
    <w:lvl w:ilvl="8" w:tplc="365E189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16422AE2">
      <w:start w:val="1"/>
      <w:numFmt w:val="bullet"/>
      <w:pStyle w:val="Lijstalinea1"/>
      <w:lvlText w:val=""/>
      <w:lvlJc w:val="left"/>
      <w:pPr>
        <w:tabs>
          <w:tab w:val="num" w:pos="-360"/>
        </w:tabs>
        <w:ind w:left="360" w:hanging="360"/>
      </w:pPr>
      <w:rPr>
        <w:rFonts w:ascii="Symbol" w:hAnsi="Symbol" w:hint="default"/>
        <w:color w:val="808080"/>
      </w:rPr>
    </w:lvl>
    <w:lvl w:ilvl="1" w:tplc="826E1DB6" w:tentative="1">
      <w:start w:val="1"/>
      <w:numFmt w:val="bullet"/>
      <w:lvlText w:val="o"/>
      <w:lvlJc w:val="left"/>
      <w:pPr>
        <w:ind w:left="1080" w:hanging="360"/>
      </w:pPr>
      <w:rPr>
        <w:rFonts w:ascii="Courier New" w:hAnsi="Courier New" w:cs="Courier New" w:hint="default"/>
      </w:rPr>
    </w:lvl>
    <w:lvl w:ilvl="2" w:tplc="3FA2A10C" w:tentative="1">
      <w:start w:val="1"/>
      <w:numFmt w:val="bullet"/>
      <w:lvlText w:val=""/>
      <w:lvlJc w:val="left"/>
      <w:pPr>
        <w:ind w:left="1800" w:hanging="360"/>
      </w:pPr>
      <w:rPr>
        <w:rFonts w:ascii="Wingdings" w:hAnsi="Wingdings" w:hint="default"/>
      </w:rPr>
    </w:lvl>
    <w:lvl w:ilvl="3" w:tplc="B97EB1B4" w:tentative="1">
      <w:start w:val="1"/>
      <w:numFmt w:val="bullet"/>
      <w:lvlText w:val=""/>
      <w:lvlJc w:val="left"/>
      <w:pPr>
        <w:ind w:left="2520" w:hanging="360"/>
      </w:pPr>
      <w:rPr>
        <w:rFonts w:ascii="Symbol" w:hAnsi="Symbol" w:hint="default"/>
      </w:rPr>
    </w:lvl>
    <w:lvl w:ilvl="4" w:tplc="DE68E23C" w:tentative="1">
      <w:start w:val="1"/>
      <w:numFmt w:val="bullet"/>
      <w:lvlText w:val="o"/>
      <w:lvlJc w:val="left"/>
      <w:pPr>
        <w:ind w:left="3240" w:hanging="360"/>
      </w:pPr>
      <w:rPr>
        <w:rFonts w:ascii="Courier New" w:hAnsi="Courier New" w:cs="Courier New" w:hint="default"/>
      </w:rPr>
    </w:lvl>
    <w:lvl w:ilvl="5" w:tplc="C5A837AE" w:tentative="1">
      <w:start w:val="1"/>
      <w:numFmt w:val="bullet"/>
      <w:lvlText w:val=""/>
      <w:lvlJc w:val="left"/>
      <w:pPr>
        <w:ind w:left="3960" w:hanging="360"/>
      </w:pPr>
      <w:rPr>
        <w:rFonts w:ascii="Wingdings" w:hAnsi="Wingdings" w:hint="default"/>
      </w:rPr>
    </w:lvl>
    <w:lvl w:ilvl="6" w:tplc="5C349C8A" w:tentative="1">
      <w:start w:val="1"/>
      <w:numFmt w:val="bullet"/>
      <w:lvlText w:val=""/>
      <w:lvlJc w:val="left"/>
      <w:pPr>
        <w:ind w:left="4680" w:hanging="360"/>
      </w:pPr>
      <w:rPr>
        <w:rFonts w:ascii="Symbol" w:hAnsi="Symbol" w:hint="default"/>
      </w:rPr>
    </w:lvl>
    <w:lvl w:ilvl="7" w:tplc="090699E6" w:tentative="1">
      <w:start w:val="1"/>
      <w:numFmt w:val="bullet"/>
      <w:lvlText w:val="o"/>
      <w:lvlJc w:val="left"/>
      <w:pPr>
        <w:ind w:left="5400" w:hanging="360"/>
      </w:pPr>
      <w:rPr>
        <w:rFonts w:ascii="Courier New" w:hAnsi="Courier New" w:cs="Courier New" w:hint="default"/>
      </w:rPr>
    </w:lvl>
    <w:lvl w:ilvl="8" w:tplc="BD701FA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35927EFE">
      <w:start w:val="1"/>
      <w:numFmt w:val="bullet"/>
      <w:lvlText w:val="o"/>
      <w:lvlJc w:val="left"/>
      <w:pPr>
        <w:ind w:left="720" w:hanging="360"/>
      </w:pPr>
      <w:rPr>
        <w:rFonts w:ascii="Courier New" w:hAnsi="Courier New" w:cs="Courier New" w:hint="default"/>
      </w:rPr>
    </w:lvl>
    <w:lvl w:ilvl="1" w:tplc="6D40ADFC" w:tentative="1">
      <w:start w:val="1"/>
      <w:numFmt w:val="bullet"/>
      <w:lvlText w:val="o"/>
      <w:lvlJc w:val="left"/>
      <w:pPr>
        <w:ind w:left="1440" w:hanging="360"/>
      </w:pPr>
      <w:rPr>
        <w:rFonts w:ascii="Courier New" w:hAnsi="Courier New" w:cs="Courier New" w:hint="default"/>
      </w:rPr>
    </w:lvl>
    <w:lvl w:ilvl="2" w:tplc="51F46B34" w:tentative="1">
      <w:start w:val="1"/>
      <w:numFmt w:val="bullet"/>
      <w:lvlText w:val=""/>
      <w:lvlJc w:val="left"/>
      <w:pPr>
        <w:ind w:left="2160" w:hanging="360"/>
      </w:pPr>
      <w:rPr>
        <w:rFonts w:ascii="Wingdings" w:hAnsi="Wingdings" w:hint="default"/>
      </w:rPr>
    </w:lvl>
    <w:lvl w:ilvl="3" w:tplc="2E5CD2FE" w:tentative="1">
      <w:start w:val="1"/>
      <w:numFmt w:val="bullet"/>
      <w:lvlText w:val=""/>
      <w:lvlJc w:val="left"/>
      <w:pPr>
        <w:ind w:left="2880" w:hanging="360"/>
      </w:pPr>
      <w:rPr>
        <w:rFonts w:ascii="Symbol" w:hAnsi="Symbol" w:hint="default"/>
      </w:rPr>
    </w:lvl>
    <w:lvl w:ilvl="4" w:tplc="DC624A6C" w:tentative="1">
      <w:start w:val="1"/>
      <w:numFmt w:val="bullet"/>
      <w:lvlText w:val="o"/>
      <w:lvlJc w:val="left"/>
      <w:pPr>
        <w:ind w:left="3600" w:hanging="360"/>
      </w:pPr>
      <w:rPr>
        <w:rFonts w:ascii="Courier New" w:hAnsi="Courier New" w:cs="Courier New" w:hint="default"/>
      </w:rPr>
    </w:lvl>
    <w:lvl w:ilvl="5" w:tplc="8F5AE242" w:tentative="1">
      <w:start w:val="1"/>
      <w:numFmt w:val="bullet"/>
      <w:lvlText w:val=""/>
      <w:lvlJc w:val="left"/>
      <w:pPr>
        <w:ind w:left="4320" w:hanging="360"/>
      </w:pPr>
      <w:rPr>
        <w:rFonts w:ascii="Wingdings" w:hAnsi="Wingdings" w:hint="default"/>
      </w:rPr>
    </w:lvl>
    <w:lvl w:ilvl="6" w:tplc="82EE6638" w:tentative="1">
      <w:start w:val="1"/>
      <w:numFmt w:val="bullet"/>
      <w:lvlText w:val=""/>
      <w:lvlJc w:val="left"/>
      <w:pPr>
        <w:ind w:left="5040" w:hanging="360"/>
      </w:pPr>
      <w:rPr>
        <w:rFonts w:ascii="Symbol" w:hAnsi="Symbol" w:hint="default"/>
      </w:rPr>
    </w:lvl>
    <w:lvl w:ilvl="7" w:tplc="03C60DBA" w:tentative="1">
      <w:start w:val="1"/>
      <w:numFmt w:val="bullet"/>
      <w:lvlText w:val="o"/>
      <w:lvlJc w:val="left"/>
      <w:pPr>
        <w:ind w:left="5760" w:hanging="360"/>
      </w:pPr>
      <w:rPr>
        <w:rFonts w:ascii="Courier New" w:hAnsi="Courier New" w:cs="Courier New" w:hint="default"/>
      </w:rPr>
    </w:lvl>
    <w:lvl w:ilvl="8" w:tplc="D92E4D0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2F3683B4">
      <w:start w:val="1"/>
      <w:numFmt w:val="bullet"/>
      <w:lvlText w:val=""/>
      <w:lvlJc w:val="left"/>
      <w:pPr>
        <w:ind w:left="360" w:hanging="360"/>
      </w:pPr>
      <w:rPr>
        <w:rFonts w:ascii="Symbol" w:hAnsi="Symbol" w:hint="default"/>
      </w:rPr>
    </w:lvl>
    <w:lvl w:ilvl="1" w:tplc="F7CE2F90" w:tentative="1">
      <w:start w:val="1"/>
      <w:numFmt w:val="bullet"/>
      <w:lvlText w:val="o"/>
      <w:lvlJc w:val="left"/>
      <w:pPr>
        <w:ind w:left="1080" w:hanging="360"/>
      </w:pPr>
      <w:rPr>
        <w:rFonts w:ascii="Courier New" w:hAnsi="Courier New" w:cs="Courier New" w:hint="default"/>
      </w:rPr>
    </w:lvl>
    <w:lvl w:ilvl="2" w:tplc="F8962DCC" w:tentative="1">
      <w:start w:val="1"/>
      <w:numFmt w:val="bullet"/>
      <w:lvlText w:val=""/>
      <w:lvlJc w:val="left"/>
      <w:pPr>
        <w:ind w:left="1800" w:hanging="360"/>
      </w:pPr>
      <w:rPr>
        <w:rFonts w:ascii="Wingdings" w:hAnsi="Wingdings" w:hint="default"/>
      </w:rPr>
    </w:lvl>
    <w:lvl w:ilvl="3" w:tplc="3A1A84A0" w:tentative="1">
      <w:start w:val="1"/>
      <w:numFmt w:val="bullet"/>
      <w:lvlText w:val=""/>
      <w:lvlJc w:val="left"/>
      <w:pPr>
        <w:ind w:left="2520" w:hanging="360"/>
      </w:pPr>
      <w:rPr>
        <w:rFonts w:ascii="Symbol" w:hAnsi="Symbol" w:hint="default"/>
      </w:rPr>
    </w:lvl>
    <w:lvl w:ilvl="4" w:tplc="7B223DD2" w:tentative="1">
      <w:start w:val="1"/>
      <w:numFmt w:val="bullet"/>
      <w:lvlText w:val="o"/>
      <w:lvlJc w:val="left"/>
      <w:pPr>
        <w:ind w:left="3240" w:hanging="360"/>
      </w:pPr>
      <w:rPr>
        <w:rFonts w:ascii="Courier New" w:hAnsi="Courier New" w:cs="Courier New" w:hint="default"/>
      </w:rPr>
    </w:lvl>
    <w:lvl w:ilvl="5" w:tplc="F95E20FE" w:tentative="1">
      <w:start w:val="1"/>
      <w:numFmt w:val="bullet"/>
      <w:lvlText w:val=""/>
      <w:lvlJc w:val="left"/>
      <w:pPr>
        <w:ind w:left="3960" w:hanging="360"/>
      </w:pPr>
      <w:rPr>
        <w:rFonts w:ascii="Wingdings" w:hAnsi="Wingdings" w:hint="default"/>
      </w:rPr>
    </w:lvl>
    <w:lvl w:ilvl="6" w:tplc="3B2E9D9C" w:tentative="1">
      <w:start w:val="1"/>
      <w:numFmt w:val="bullet"/>
      <w:lvlText w:val=""/>
      <w:lvlJc w:val="left"/>
      <w:pPr>
        <w:ind w:left="4680" w:hanging="360"/>
      </w:pPr>
      <w:rPr>
        <w:rFonts w:ascii="Symbol" w:hAnsi="Symbol" w:hint="default"/>
      </w:rPr>
    </w:lvl>
    <w:lvl w:ilvl="7" w:tplc="EB9677F0" w:tentative="1">
      <w:start w:val="1"/>
      <w:numFmt w:val="bullet"/>
      <w:lvlText w:val="o"/>
      <w:lvlJc w:val="left"/>
      <w:pPr>
        <w:ind w:left="5400" w:hanging="360"/>
      </w:pPr>
      <w:rPr>
        <w:rFonts w:ascii="Courier New" w:hAnsi="Courier New" w:cs="Courier New" w:hint="default"/>
      </w:rPr>
    </w:lvl>
    <w:lvl w:ilvl="8" w:tplc="D80E406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84622DBA">
      <w:start w:val="1"/>
      <w:numFmt w:val="bullet"/>
      <w:lvlText w:val=""/>
      <w:lvlJc w:val="left"/>
      <w:pPr>
        <w:tabs>
          <w:tab w:val="num" w:pos="0"/>
        </w:tabs>
        <w:ind w:left="720" w:hanging="360"/>
      </w:pPr>
      <w:rPr>
        <w:rFonts w:ascii="Symbol" w:hAnsi="Symbol" w:hint="default"/>
        <w:color w:val="808080"/>
      </w:rPr>
    </w:lvl>
    <w:lvl w:ilvl="1" w:tplc="B156BF38" w:tentative="1">
      <w:start w:val="1"/>
      <w:numFmt w:val="bullet"/>
      <w:lvlText w:val="o"/>
      <w:lvlJc w:val="left"/>
      <w:pPr>
        <w:tabs>
          <w:tab w:val="num" w:pos="1440"/>
        </w:tabs>
        <w:ind w:left="1440" w:hanging="360"/>
      </w:pPr>
      <w:rPr>
        <w:rFonts w:ascii="Courier New" w:hAnsi="Courier New" w:cs="Courier New" w:hint="default"/>
      </w:rPr>
    </w:lvl>
    <w:lvl w:ilvl="2" w:tplc="45FA0588" w:tentative="1">
      <w:start w:val="1"/>
      <w:numFmt w:val="bullet"/>
      <w:lvlText w:val=""/>
      <w:lvlJc w:val="left"/>
      <w:pPr>
        <w:tabs>
          <w:tab w:val="num" w:pos="2160"/>
        </w:tabs>
        <w:ind w:left="2160" w:hanging="360"/>
      </w:pPr>
      <w:rPr>
        <w:rFonts w:ascii="Wingdings" w:hAnsi="Wingdings" w:hint="default"/>
      </w:rPr>
    </w:lvl>
    <w:lvl w:ilvl="3" w:tplc="AA96D4A6" w:tentative="1">
      <w:start w:val="1"/>
      <w:numFmt w:val="bullet"/>
      <w:lvlText w:val=""/>
      <w:lvlJc w:val="left"/>
      <w:pPr>
        <w:tabs>
          <w:tab w:val="num" w:pos="2880"/>
        </w:tabs>
        <w:ind w:left="2880" w:hanging="360"/>
      </w:pPr>
      <w:rPr>
        <w:rFonts w:ascii="Symbol" w:hAnsi="Symbol" w:hint="default"/>
      </w:rPr>
    </w:lvl>
    <w:lvl w:ilvl="4" w:tplc="9BF224CC" w:tentative="1">
      <w:start w:val="1"/>
      <w:numFmt w:val="bullet"/>
      <w:lvlText w:val="o"/>
      <w:lvlJc w:val="left"/>
      <w:pPr>
        <w:tabs>
          <w:tab w:val="num" w:pos="3600"/>
        </w:tabs>
        <w:ind w:left="3600" w:hanging="360"/>
      </w:pPr>
      <w:rPr>
        <w:rFonts w:ascii="Courier New" w:hAnsi="Courier New" w:cs="Courier New" w:hint="default"/>
      </w:rPr>
    </w:lvl>
    <w:lvl w:ilvl="5" w:tplc="24B20920" w:tentative="1">
      <w:start w:val="1"/>
      <w:numFmt w:val="bullet"/>
      <w:lvlText w:val=""/>
      <w:lvlJc w:val="left"/>
      <w:pPr>
        <w:tabs>
          <w:tab w:val="num" w:pos="4320"/>
        </w:tabs>
        <w:ind w:left="4320" w:hanging="360"/>
      </w:pPr>
      <w:rPr>
        <w:rFonts w:ascii="Wingdings" w:hAnsi="Wingdings" w:hint="default"/>
      </w:rPr>
    </w:lvl>
    <w:lvl w:ilvl="6" w:tplc="5CFE00DA" w:tentative="1">
      <w:start w:val="1"/>
      <w:numFmt w:val="bullet"/>
      <w:lvlText w:val=""/>
      <w:lvlJc w:val="left"/>
      <w:pPr>
        <w:tabs>
          <w:tab w:val="num" w:pos="5040"/>
        </w:tabs>
        <w:ind w:left="5040" w:hanging="360"/>
      </w:pPr>
      <w:rPr>
        <w:rFonts w:ascii="Symbol" w:hAnsi="Symbol" w:hint="default"/>
      </w:rPr>
    </w:lvl>
    <w:lvl w:ilvl="7" w:tplc="FEE4F954" w:tentative="1">
      <w:start w:val="1"/>
      <w:numFmt w:val="bullet"/>
      <w:lvlText w:val="o"/>
      <w:lvlJc w:val="left"/>
      <w:pPr>
        <w:tabs>
          <w:tab w:val="num" w:pos="5760"/>
        </w:tabs>
        <w:ind w:left="5760" w:hanging="360"/>
      </w:pPr>
      <w:rPr>
        <w:rFonts w:ascii="Courier New" w:hAnsi="Courier New" w:cs="Courier New" w:hint="default"/>
      </w:rPr>
    </w:lvl>
    <w:lvl w:ilvl="8" w:tplc="933CFAC0" w:tentative="1">
      <w:start w:val="1"/>
      <w:numFmt w:val="bullet"/>
      <w:lvlText w:val=""/>
      <w:lvlJc w:val="left"/>
      <w:pPr>
        <w:tabs>
          <w:tab w:val="num" w:pos="6480"/>
        </w:tabs>
        <w:ind w:left="6480" w:hanging="360"/>
      </w:pPr>
      <w:rPr>
        <w:rFonts w:ascii="Wingdings" w:hAnsi="Wingdings" w:hint="default"/>
      </w:rPr>
    </w:lvl>
  </w:abstractNum>
  <w:num w:numId="1" w16cid:durableId="1963687361">
    <w:abstractNumId w:val="6"/>
  </w:num>
  <w:num w:numId="2" w16cid:durableId="1682313595">
    <w:abstractNumId w:val="4"/>
  </w:num>
  <w:num w:numId="3" w16cid:durableId="35934570">
    <w:abstractNumId w:val="9"/>
  </w:num>
  <w:num w:numId="4" w16cid:durableId="1765805368">
    <w:abstractNumId w:val="0"/>
  </w:num>
  <w:num w:numId="5" w16cid:durableId="1528911072">
    <w:abstractNumId w:val="5"/>
  </w:num>
  <w:num w:numId="6" w16cid:durableId="1853031593">
    <w:abstractNumId w:val="8"/>
  </w:num>
  <w:num w:numId="7" w16cid:durableId="1849829968">
    <w:abstractNumId w:val="1"/>
  </w:num>
  <w:num w:numId="8" w16cid:durableId="2083288389">
    <w:abstractNumId w:val="2"/>
  </w:num>
  <w:num w:numId="9" w16cid:durableId="1986857757">
    <w:abstractNumId w:val="4"/>
  </w:num>
  <w:num w:numId="10" w16cid:durableId="669024238">
    <w:abstractNumId w:val="4"/>
  </w:num>
  <w:num w:numId="11" w16cid:durableId="1927230209">
    <w:abstractNumId w:val="4"/>
  </w:num>
  <w:num w:numId="12" w16cid:durableId="1211528470">
    <w:abstractNumId w:val="4"/>
  </w:num>
  <w:num w:numId="13" w16cid:durableId="1148861861">
    <w:abstractNumId w:val="7"/>
  </w:num>
  <w:num w:numId="14" w16cid:durableId="1527716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B9"/>
    <w:rsid w:val="00433D5C"/>
    <w:rsid w:val="00446876"/>
    <w:rsid w:val="005014B9"/>
    <w:rsid w:val="00551CED"/>
    <w:rsid w:val="0057744D"/>
    <w:rsid w:val="006E0249"/>
    <w:rsid w:val="00751C76"/>
    <w:rsid w:val="00AA51DF"/>
    <w:rsid w:val="00E75ECB"/>
    <w:rsid w:val="00EA2E6C"/>
    <w:rsid w:val="00EA3F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C9141"/>
  <w15:docId w15:val="{2991E580-645D-458B-A954-A98DCCE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2022-10-03T13:03:00Z</dcterms:created>
  <dcterms:modified xsi:type="dcterms:W3CDTF">2022-10-03T13:03:00Z</dcterms:modified>
</cp:coreProperties>
</file>