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12D5" w14:textId="77777777" w:rsidR="000976E9" w:rsidRPr="00B4470D" w:rsidRDefault="00F50C3F" w:rsidP="00B4470D">
      <w:pPr>
        <w:pStyle w:val="A-NaamMinister"/>
        <w:jc w:val="both"/>
        <w:rPr>
          <w:rFonts w:ascii="Verdana" w:hAnsi="Verdana"/>
          <w:sz w:val="20"/>
          <w:szCs w:val="20"/>
        </w:rPr>
      </w:pPr>
      <w:proofErr w:type="spellStart"/>
      <w:r w:rsidRPr="00B4470D">
        <w:rPr>
          <w:rFonts w:ascii="Verdana" w:hAnsi="Verdana"/>
          <w:sz w:val="20"/>
          <w:szCs w:val="20"/>
        </w:rPr>
        <w:t>matthias</w:t>
      </w:r>
      <w:proofErr w:type="spellEnd"/>
      <w:r w:rsidRPr="00B4470D">
        <w:rPr>
          <w:rFonts w:ascii="Verdana" w:hAnsi="Verdana"/>
          <w:sz w:val="20"/>
          <w:szCs w:val="20"/>
        </w:rPr>
        <w:t xml:space="preserve"> </w:t>
      </w:r>
      <w:proofErr w:type="spellStart"/>
      <w:r w:rsidRPr="00B4470D">
        <w:rPr>
          <w:rFonts w:ascii="Verdana" w:hAnsi="Verdana"/>
          <w:sz w:val="20"/>
          <w:szCs w:val="20"/>
        </w:rPr>
        <w:t>diependaele</w:t>
      </w:r>
      <w:proofErr w:type="spellEnd"/>
    </w:p>
    <w:p w14:paraId="5E7F7C2C" w14:textId="77777777" w:rsidR="000976E9" w:rsidRPr="00B4470D" w:rsidRDefault="00AE4255" w:rsidP="00B4470D">
      <w:pPr>
        <w:pStyle w:val="A-TitelMinister"/>
        <w:jc w:val="both"/>
        <w:rPr>
          <w:rFonts w:ascii="Verdana" w:hAnsi="Verdana"/>
          <w:sz w:val="20"/>
          <w:szCs w:val="20"/>
        </w:rPr>
      </w:pPr>
      <w:proofErr w:type="spellStart"/>
      <w:r w:rsidRPr="00B4470D">
        <w:rPr>
          <w:rFonts w:ascii="Verdana" w:hAnsi="Verdana"/>
          <w:sz w:val="20"/>
          <w:szCs w:val="20"/>
        </w:rPr>
        <w:t>vlaams</w:t>
      </w:r>
      <w:proofErr w:type="spellEnd"/>
      <w:r w:rsidRPr="00B4470D">
        <w:rPr>
          <w:rFonts w:ascii="Verdana" w:hAnsi="Verdana"/>
          <w:sz w:val="20"/>
          <w:szCs w:val="20"/>
        </w:rPr>
        <w:t xml:space="preserve"> minister van </w:t>
      </w:r>
      <w:r w:rsidR="00F50C3F" w:rsidRPr="00B4470D">
        <w:rPr>
          <w:rFonts w:ascii="Verdana" w:hAnsi="Verdana"/>
          <w:sz w:val="20"/>
          <w:szCs w:val="20"/>
        </w:rPr>
        <w:t>financiën en begroting, wonen en onroerend erfgoed</w:t>
      </w:r>
    </w:p>
    <w:p w14:paraId="5BCB9B7E" w14:textId="77777777" w:rsidR="000976E9" w:rsidRPr="00B4470D" w:rsidRDefault="000976E9" w:rsidP="00B4470D">
      <w:pPr>
        <w:jc w:val="both"/>
        <w:rPr>
          <w:rFonts w:ascii="Verdana" w:hAnsi="Verdana"/>
          <w:sz w:val="20"/>
          <w:szCs w:val="20"/>
        </w:rPr>
      </w:pPr>
    </w:p>
    <w:p w14:paraId="2D19261D" w14:textId="77777777" w:rsidR="000976E9" w:rsidRPr="00B4470D" w:rsidRDefault="000976E9" w:rsidP="00B4470D">
      <w:pPr>
        <w:pStyle w:val="A-Lijn"/>
        <w:jc w:val="both"/>
        <w:rPr>
          <w:rFonts w:ascii="Verdana" w:hAnsi="Verdana"/>
          <w:sz w:val="20"/>
          <w:szCs w:val="20"/>
        </w:rPr>
      </w:pPr>
    </w:p>
    <w:p w14:paraId="38D7EB3F" w14:textId="77777777" w:rsidR="000976E9" w:rsidRPr="00B4470D" w:rsidRDefault="000976E9" w:rsidP="00B4470D">
      <w:pPr>
        <w:pStyle w:val="A-Type"/>
        <w:jc w:val="both"/>
        <w:rPr>
          <w:rFonts w:ascii="Verdana" w:hAnsi="Verdana"/>
          <w:sz w:val="20"/>
          <w:szCs w:val="20"/>
        </w:rPr>
        <w:sectPr w:rsidR="000976E9" w:rsidRPr="00B4470D">
          <w:pgSz w:w="11906" w:h="16838"/>
          <w:pgMar w:top="1417" w:right="1417" w:bottom="1417" w:left="1417" w:header="708" w:footer="708" w:gutter="0"/>
          <w:cols w:space="708"/>
          <w:docGrid w:linePitch="360"/>
        </w:sectPr>
      </w:pPr>
    </w:p>
    <w:p w14:paraId="4E689904" w14:textId="77777777" w:rsidR="00210C07" w:rsidRPr="00B4470D" w:rsidRDefault="000976E9" w:rsidP="00B4470D">
      <w:pPr>
        <w:pStyle w:val="A-Type"/>
        <w:jc w:val="both"/>
        <w:rPr>
          <w:rFonts w:ascii="Verdana" w:hAnsi="Verdana"/>
          <w:sz w:val="20"/>
          <w:szCs w:val="20"/>
        </w:rPr>
        <w:sectPr w:rsidR="00210C07" w:rsidRPr="00B4470D" w:rsidSect="000976E9">
          <w:type w:val="continuous"/>
          <w:pgSz w:w="11906" w:h="16838"/>
          <w:pgMar w:top="1417" w:right="1417" w:bottom="1417" w:left="1417" w:header="708" w:footer="708" w:gutter="0"/>
          <w:cols w:space="708"/>
          <w:formProt w:val="0"/>
          <w:docGrid w:linePitch="360"/>
        </w:sectPr>
      </w:pPr>
      <w:r w:rsidRPr="00B4470D">
        <w:rPr>
          <w:rFonts w:ascii="Verdana" w:hAnsi="Verdana"/>
          <w:sz w:val="20"/>
          <w:szCs w:val="20"/>
        </w:rPr>
        <w:t xml:space="preserve">antwoord </w:t>
      </w:r>
    </w:p>
    <w:p w14:paraId="1DC31316" w14:textId="137AEAE0" w:rsidR="000976E9" w:rsidRPr="00B4470D" w:rsidRDefault="0057445D" w:rsidP="00B4470D">
      <w:pPr>
        <w:pStyle w:val="A-Type"/>
        <w:jc w:val="both"/>
        <w:rPr>
          <w:rFonts w:ascii="Verdana" w:hAnsi="Verdana"/>
          <w:b w:val="0"/>
          <w:smallCaps w:val="0"/>
          <w:sz w:val="20"/>
          <w:szCs w:val="20"/>
        </w:rPr>
      </w:pPr>
      <w:proofErr w:type="gramStart"/>
      <w:r w:rsidRPr="00B4470D">
        <w:rPr>
          <w:rFonts w:ascii="Verdana" w:hAnsi="Verdana"/>
          <w:b w:val="0"/>
          <w:smallCaps w:val="0"/>
          <w:sz w:val="20"/>
          <w:szCs w:val="20"/>
        </w:rPr>
        <w:t>op</w:t>
      </w:r>
      <w:proofErr w:type="gramEnd"/>
      <w:r w:rsidRPr="00B4470D">
        <w:rPr>
          <w:rFonts w:ascii="Verdana" w:hAnsi="Verdana"/>
          <w:b w:val="0"/>
          <w:smallCaps w:val="0"/>
          <w:sz w:val="20"/>
          <w:szCs w:val="20"/>
        </w:rPr>
        <w:t xml:space="preserve"> vraag nr. </w:t>
      </w:r>
      <w:r w:rsidR="00793654" w:rsidRPr="00B4470D">
        <w:rPr>
          <w:rFonts w:ascii="Verdana" w:hAnsi="Verdana"/>
          <w:b w:val="0"/>
          <w:smallCaps w:val="0"/>
          <w:sz w:val="20"/>
          <w:szCs w:val="20"/>
        </w:rPr>
        <w:t>89</w:t>
      </w:r>
      <w:r w:rsidR="00FC79AC" w:rsidRPr="00B4470D">
        <w:rPr>
          <w:rFonts w:ascii="Verdana" w:hAnsi="Verdana"/>
          <w:b w:val="0"/>
          <w:smallCaps w:val="0"/>
          <w:sz w:val="20"/>
          <w:szCs w:val="20"/>
        </w:rPr>
        <w:t xml:space="preserve"> </w:t>
      </w:r>
      <w:r w:rsidR="000976E9" w:rsidRPr="00B4470D">
        <w:rPr>
          <w:rFonts w:ascii="Verdana" w:hAnsi="Verdana"/>
          <w:b w:val="0"/>
          <w:smallCaps w:val="0"/>
          <w:sz w:val="20"/>
          <w:szCs w:val="20"/>
        </w:rPr>
        <w:t>van</w:t>
      </w:r>
      <w:r w:rsidR="00FC79AC" w:rsidRPr="00B4470D">
        <w:rPr>
          <w:rFonts w:ascii="Verdana" w:hAnsi="Verdana"/>
          <w:b w:val="0"/>
          <w:smallCaps w:val="0"/>
          <w:sz w:val="20"/>
          <w:szCs w:val="20"/>
        </w:rPr>
        <w:t xml:space="preserve"> </w:t>
      </w:r>
      <w:r w:rsidR="00793654" w:rsidRPr="00B4470D">
        <w:rPr>
          <w:rFonts w:ascii="Verdana" w:hAnsi="Verdana"/>
          <w:b w:val="0"/>
          <w:smallCaps w:val="0"/>
          <w:sz w:val="20"/>
          <w:szCs w:val="20"/>
        </w:rPr>
        <w:t>15</w:t>
      </w:r>
      <w:r w:rsidR="000976E9" w:rsidRPr="00B4470D">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793654" w:rsidRPr="00B4470D">
            <w:rPr>
              <w:rFonts w:ascii="Verdana" w:hAnsi="Verdana"/>
              <w:b w:val="0"/>
              <w:smallCaps w:val="0"/>
              <w:sz w:val="20"/>
              <w:szCs w:val="20"/>
            </w:rPr>
            <w:t>december</w:t>
          </w:r>
        </w:sdtContent>
      </w:sdt>
      <w:r w:rsidR="002346BF" w:rsidRPr="00B4470D">
        <w:rPr>
          <w:rFonts w:ascii="Verdana" w:hAnsi="Verdana"/>
          <w:b w:val="0"/>
          <w:smallCaps w:val="0"/>
          <w:sz w:val="20"/>
          <w:szCs w:val="20"/>
        </w:rPr>
        <w:t xml:space="preserve"> </w:t>
      </w:r>
      <w:r w:rsidR="00096762" w:rsidRPr="00B4470D">
        <w:rPr>
          <w:rFonts w:ascii="Verdana" w:hAnsi="Verdana"/>
          <w:b w:val="0"/>
          <w:smallCaps w:val="0"/>
          <w:sz w:val="20"/>
          <w:szCs w:val="20"/>
        </w:rPr>
        <w:t>202</w:t>
      </w:r>
      <w:r w:rsidR="00E04CD8" w:rsidRPr="00B4470D">
        <w:rPr>
          <w:rFonts w:ascii="Verdana" w:hAnsi="Verdana"/>
          <w:b w:val="0"/>
          <w:smallCaps w:val="0"/>
          <w:sz w:val="20"/>
          <w:szCs w:val="20"/>
        </w:rPr>
        <w:t>2</w:t>
      </w:r>
    </w:p>
    <w:p w14:paraId="5FBFE44B" w14:textId="611277DC" w:rsidR="000976E9" w:rsidRPr="00B4470D" w:rsidRDefault="000976E9" w:rsidP="00B4470D">
      <w:pPr>
        <w:pStyle w:val="A-NaamMinister"/>
        <w:jc w:val="both"/>
        <w:rPr>
          <w:rFonts w:ascii="Verdana" w:hAnsi="Verdana"/>
          <w:sz w:val="20"/>
          <w:szCs w:val="20"/>
        </w:rPr>
      </w:pPr>
      <w:proofErr w:type="gramStart"/>
      <w:r w:rsidRPr="00B4470D">
        <w:rPr>
          <w:rFonts w:ascii="Verdana" w:hAnsi="Verdana"/>
          <w:b w:val="0"/>
          <w:smallCaps w:val="0"/>
          <w:sz w:val="20"/>
          <w:szCs w:val="20"/>
        </w:rPr>
        <w:t>van</w:t>
      </w:r>
      <w:proofErr w:type="gramEnd"/>
      <w:r w:rsidRPr="00B4470D">
        <w:rPr>
          <w:rFonts w:ascii="Verdana" w:hAnsi="Verdana"/>
          <w:sz w:val="20"/>
          <w:szCs w:val="20"/>
        </w:rPr>
        <w:t xml:space="preserve"> </w:t>
      </w:r>
      <w:proofErr w:type="spellStart"/>
      <w:r w:rsidR="00793654" w:rsidRPr="00B4470D">
        <w:rPr>
          <w:rFonts w:ascii="Verdana" w:hAnsi="Verdana"/>
          <w:sz w:val="20"/>
          <w:szCs w:val="20"/>
        </w:rPr>
        <w:t>mercedes</w:t>
      </w:r>
      <w:proofErr w:type="spellEnd"/>
      <w:r w:rsidR="00793654" w:rsidRPr="00B4470D">
        <w:rPr>
          <w:rFonts w:ascii="Verdana" w:hAnsi="Verdana"/>
          <w:sz w:val="20"/>
          <w:szCs w:val="20"/>
        </w:rPr>
        <w:t xml:space="preserve"> van </w:t>
      </w:r>
      <w:proofErr w:type="spellStart"/>
      <w:r w:rsidR="00793654" w:rsidRPr="00B4470D">
        <w:rPr>
          <w:rFonts w:ascii="Verdana" w:hAnsi="Verdana"/>
          <w:sz w:val="20"/>
          <w:szCs w:val="20"/>
        </w:rPr>
        <w:t>volcem</w:t>
      </w:r>
      <w:proofErr w:type="spellEnd"/>
    </w:p>
    <w:p w14:paraId="5FA5FF04" w14:textId="77777777" w:rsidR="00326A58" w:rsidRPr="00B4470D" w:rsidRDefault="00326A58" w:rsidP="00B4470D">
      <w:pPr>
        <w:jc w:val="both"/>
        <w:rPr>
          <w:rFonts w:ascii="Verdana" w:hAnsi="Verdana"/>
          <w:sz w:val="20"/>
          <w:szCs w:val="20"/>
        </w:rPr>
      </w:pPr>
    </w:p>
    <w:p w14:paraId="7E351A43" w14:textId="77777777" w:rsidR="000976E9" w:rsidRPr="00B4470D" w:rsidRDefault="000976E9" w:rsidP="00B4470D">
      <w:pPr>
        <w:pStyle w:val="A-Lijn"/>
        <w:jc w:val="both"/>
        <w:rPr>
          <w:rFonts w:ascii="Verdana" w:hAnsi="Verdana"/>
          <w:sz w:val="20"/>
          <w:szCs w:val="20"/>
        </w:rPr>
      </w:pPr>
    </w:p>
    <w:p w14:paraId="0C81590B" w14:textId="77777777" w:rsidR="000976E9" w:rsidRPr="00B4470D" w:rsidRDefault="000976E9" w:rsidP="00B4470D">
      <w:pPr>
        <w:jc w:val="both"/>
        <w:rPr>
          <w:rFonts w:ascii="Verdana" w:hAnsi="Verdana"/>
          <w:sz w:val="20"/>
          <w:szCs w:val="20"/>
        </w:rPr>
        <w:sectPr w:rsidR="000976E9" w:rsidRPr="00B4470D" w:rsidSect="000976E9">
          <w:type w:val="continuous"/>
          <w:pgSz w:w="11906" w:h="16838"/>
          <w:pgMar w:top="1417" w:right="1417" w:bottom="1417" w:left="1417" w:header="708" w:footer="708" w:gutter="0"/>
          <w:cols w:space="708"/>
          <w:docGrid w:linePitch="360"/>
        </w:sectPr>
      </w:pPr>
    </w:p>
    <w:p w14:paraId="4A16AF60" w14:textId="77777777" w:rsidR="008150DC" w:rsidRPr="00B4470D" w:rsidRDefault="008150DC" w:rsidP="00B4470D">
      <w:pPr>
        <w:jc w:val="both"/>
        <w:rPr>
          <w:rFonts w:ascii="Verdana" w:hAnsi="Verdana"/>
          <w:sz w:val="20"/>
          <w:szCs w:val="20"/>
        </w:rPr>
      </w:pPr>
    </w:p>
    <w:p w14:paraId="79A5FD9C" w14:textId="1BE33993" w:rsidR="001848A1" w:rsidRPr="00B4470D" w:rsidRDefault="00B4470D" w:rsidP="00B4470D">
      <w:pPr>
        <w:ind w:left="426" w:hanging="426"/>
        <w:jc w:val="both"/>
        <w:rPr>
          <w:rFonts w:ascii="Verdana" w:hAnsi="Verdana"/>
          <w:sz w:val="20"/>
          <w:szCs w:val="20"/>
        </w:rPr>
      </w:pPr>
      <w:r w:rsidRPr="00B4470D">
        <w:rPr>
          <w:rFonts w:ascii="Verdana" w:hAnsi="Verdana"/>
          <w:sz w:val="20"/>
          <w:szCs w:val="20"/>
        </w:rPr>
        <w:t>1</w:t>
      </w:r>
      <w:r w:rsidR="00FA2CC8" w:rsidRPr="00B4470D">
        <w:rPr>
          <w:rFonts w:ascii="Verdana" w:hAnsi="Verdana"/>
          <w:sz w:val="20"/>
          <w:szCs w:val="20"/>
        </w:rPr>
        <w:t>-3.</w:t>
      </w:r>
      <w:bookmarkStart w:id="0" w:name="_Hlk125097645"/>
      <w:r w:rsidRPr="00B4470D">
        <w:rPr>
          <w:rFonts w:ascii="Verdana" w:hAnsi="Verdana"/>
          <w:sz w:val="20"/>
          <w:szCs w:val="20"/>
        </w:rPr>
        <w:tab/>
      </w:r>
      <w:r w:rsidR="00FA2CC8" w:rsidRPr="00B4470D">
        <w:rPr>
          <w:rFonts w:ascii="Verdana" w:hAnsi="Verdana"/>
          <w:sz w:val="20"/>
          <w:szCs w:val="20"/>
        </w:rPr>
        <w:t xml:space="preserve">De </w:t>
      </w:r>
      <w:r w:rsidR="00155A83" w:rsidRPr="00B4470D">
        <w:rPr>
          <w:rFonts w:ascii="Verdana" w:hAnsi="Verdana"/>
          <w:sz w:val="20"/>
          <w:szCs w:val="20"/>
        </w:rPr>
        <w:t xml:space="preserve">verlenging van de termijn voor de vervreemding van het verhinderend onroerend goed </w:t>
      </w:r>
      <w:r w:rsidR="008A45EE" w:rsidRPr="00B4470D">
        <w:rPr>
          <w:rFonts w:ascii="Verdana" w:hAnsi="Verdana"/>
          <w:sz w:val="20"/>
          <w:szCs w:val="20"/>
        </w:rPr>
        <w:t>bij de aankoop van de enige eigen woning</w:t>
      </w:r>
      <w:r w:rsidR="00724A2F" w:rsidRPr="00B4470D">
        <w:rPr>
          <w:rFonts w:ascii="Verdana" w:hAnsi="Verdana"/>
          <w:sz w:val="20"/>
          <w:szCs w:val="20"/>
        </w:rPr>
        <w:t xml:space="preserve"> werd</w:t>
      </w:r>
      <w:r w:rsidR="008A45EE" w:rsidRPr="00B4470D">
        <w:rPr>
          <w:rFonts w:ascii="Verdana" w:hAnsi="Verdana"/>
          <w:sz w:val="20"/>
          <w:szCs w:val="20"/>
        </w:rPr>
        <w:t xml:space="preserve"> </w:t>
      </w:r>
      <w:r w:rsidR="00A8088E" w:rsidRPr="00B4470D">
        <w:rPr>
          <w:rFonts w:ascii="Verdana" w:hAnsi="Verdana"/>
          <w:sz w:val="20"/>
          <w:szCs w:val="20"/>
        </w:rPr>
        <w:t>door</w:t>
      </w:r>
      <w:r w:rsidR="00294114" w:rsidRPr="00B4470D">
        <w:rPr>
          <w:rFonts w:ascii="Verdana" w:hAnsi="Verdana"/>
          <w:sz w:val="20"/>
          <w:szCs w:val="20"/>
        </w:rPr>
        <w:t xml:space="preserve"> het programmadecreet bij de begroting 2022</w:t>
      </w:r>
      <w:r w:rsidR="00FC1CEC" w:rsidRPr="00B4470D">
        <w:rPr>
          <w:rFonts w:ascii="Verdana" w:hAnsi="Verdana"/>
          <w:sz w:val="20"/>
          <w:szCs w:val="20"/>
        </w:rPr>
        <w:t xml:space="preserve"> verlengd tot twee jaar.</w:t>
      </w:r>
      <w:r w:rsidR="002000A4" w:rsidRPr="00B4470D">
        <w:rPr>
          <w:rFonts w:ascii="Verdana" w:hAnsi="Verdana"/>
          <w:sz w:val="20"/>
          <w:szCs w:val="20"/>
        </w:rPr>
        <w:t xml:space="preserve"> </w:t>
      </w:r>
      <w:r w:rsidR="001848A1" w:rsidRPr="00B4470D">
        <w:rPr>
          <w:rFonts w:ascii="Verdana" w:hAnsi="Verdana"/>
          <w:sz w:val="20"/>
          <w:szCs w:val="20"/>
        </w:rPr>
        <w:t xml:space="preserve">Gezien deze wijziging kaderde binnen een grotere hervorming van het verkooprecht werd de inwerkingtreding van de verlenging afgestemd op de inwerkingtreding van de nieuwe verlaagde tarieven, die van toepassing zijn op authentieke aktes gesloten vanaf 1 januari 2022. </w:t>
      </w:r>
      <w:r w:rsidR="001848A1" w:rsidRPr="001D307F">
        <w:rPr>
          <w:rFonts w:ascii="Verdana" w:hAnsi="Verdana"/>
          <w:sz w:val="20"/>
          <w:szCs w:val="20"/>
          <w:highlight w:val="yellow"/>
        </w:rPr>
        <w:t>Daarbij werd niet ingegrepen op lopende termijnen. Ik merk hierbij op dat belastingplichtigen steeds het recht hebben om overmacht in te roepen in situaties waar deze termijn als ‘onredelijk’ kan worden beschouwd.</w:t>
      </w:r>
      <w:r w:rsidR="001848A1" w:rsidRPr="00B4470D">
        <w:rPr>
          <w:rFonts w:ascii="Verdana" w:hAnsi="Verdana"/>
          <w:sz w:val="20"/>
          <w:szCs w:val="20"/>
        </w:rPr>
        <w:t xml:space="preserve"> </w:t>
      </w:r>
      <w:bookmarkEnd w:id="0"/>
    </w:p>
    <w:p w14:paraId="7EA087A0" w14:textId="77777777" w:rsidR="001848A1" w:rsidRPr="00B4470D" w:rsidRDefault="001848A1" w:rsidP="00B4470D">
      <w:pPr>
        <w:pStyle w:val="Lijstalinea"/>
        <w:ind w:left="284"/>
        <w:jc w:val="both"/>
        <w:rPr>
          <w:rFonts w:ascii="Verdana" w:hAnsi="Verdana"/>
          <w:sz w:val="20"/>
          <w:szCs w:val="20"/>
        </w:rPr>
      </w:pPr>
    </w:p>
    <w:p w14:paraId="340CCFAF" w14:textId="073D20B8" w:rsidR="009F782D" w:rsidRPr="00B4470D" w:rsidRDefault="008A45EE" w:rsidP="00B4470D">
      <w:pPr>
        <w:pStyle w:val="Lijstalinea"/>
        <w:ind w:left="426"/>
        <w:jc w:val="both"/>
        <w:rPr>
          <w:rFonts w:ascii="Verdana" w:hAnsi="Verdana"/>
          <w:sz w:val="20"/>
          <w:szCs w:val="20"/>
        </w:rPr>
      </w:pPr>
      <w:r w:rsidRPr="00B4470D">
        <w:rPr>
          <w:rFonts w:ascii="Verdana" w:hAnsi="Verdana"/>
          <w:sz w:val="20"/>
          <w:szCs w:val="20"/>
        </w:rPr>
        <w:t xml:space="preserve">Intussen </w:t>
      </w:r>
      <w:r w:rsidR="009040C7" w:rsidRPr="00B4470D">
        <w:rPr>
          <w:rFonts w:ascii="Verdana" w:hAnsi="Verdana"/>
          <w:sz w:val="20"/>
          <w:szCs w:val="20"/>
        </w:rPr>
        <w:t xml:space="preserve">werd deze </w:t>
      </w:r>
      <w:r w:rsidR="001848A1" w:rsidRPr="00B4470D">
        <w:rPr>
          <w:rFonts w:ascii="Verdana" w:hAnsi="Verdana"/>
          <w:sz w:val="20"/>
          <w:szCs w:val="20"/>
        </w:rPr>
        <w:t xml:space="preserve">tweejarige </w:t>
      </w:r>
      <w:r w:rsidR="009040C7" w:rsidRPr="00B4470D">
        <w:rPr>
          <w:rFonts w:ascii="Verdana" w:hAnsi="Verdana"/>
          <w:sz w:val="20"/>
          <w:szCs w:val="20"/>
        </w:rPr>
        <w:t xml:space="preserve">termijn </w:t>
      </w:r>
      <w:r w:rsidRPr="00B4470D">
        <w:rPr>
          <w:rFonts w:ascii="Verdana" w:hAnsi="Verdana"/>
          <w:sz w:val="20"/>
          <w:szCs w:val="20"/>
        </w:rPr>
        <w:t xml:space="preserve">bij decreet van 9 december 2022 </w:t>
      </w:r>
      <w:r w:rsidR="009040C7" w:rsidRPr="00B4470D">
        <w:rPr>
          <w:rFonts w:ascii="Verdana" w:hAnsi="Verdana"/>
          <w:sz w:val="20"/>
          <w:szCs w:val="20"/>
        </w:rPr>
        <w:t xml:space="preserve">verder verlengd tot drie jaar </w:t>
      </w:r>
      <w:r w:rsidR="00AB6E57" w:rsidRPr="00B4470D">
        <w:rPr>
          <w:rFonts w:ascii="Verdana" w:hAnsi="Verdana"/>
          <w:sz w:val="20"/>
          <w:szCs w:val="20"/>
        </w:rPr>
        <w:t>wanneer het gaat over de aankoop van een enige eigen woning waarbij de koper zich verbindt</w:t>
      </w:r>
      <w:r w:rsidR="009040C7" w:rsidRPr="00B4470D">
        <w:rPr>
          <w:rFonts w:ascii="Verdana" w:hAnsi="Verdana"/>
          <w:sz w:val="20"/>
          <w:szCs w:val="20"/>
        </w:rPr>
        <w:t xml:space="preserve"> tot ingrijpende energetische renovatie of</w:t>
      </w:r>
      <w:r w:rsidR="00AB6E57" w:rsidRPr="00B4470D">
        <w:rPr>
          <w:rFonts w:ascii="Verdana" w:hAnsi="Verdana"/>
          <w:sz w:val="20"/>
          <w:szCs w:val="20"/>
        </w:rPr>
        <w:t xml:space="preserve"> tot sloop en heropbouw, of</w:t>
      </w:r>
      <w:r w:rsidR="009040C7" w:rsidRPr="00B4470D">
        <w:rPr>
          <w:rFonts w:ascii="Verdana" w:hAnsi="Verdana"/>
          <w:sz w:val="20"/>
          <w:szCs w:val="20"/>
        </w:rPr>
        <w:t xml:space="preserve"> </w:t>
      </w:r>
      <w:r w:rsidR="00AB6E57" w:rsidRPr="00B4470D">
        <w:rPr>
          <w:rFonts w:ascii="Verdana" w:hAnsi="Verdana"/>
          <w:sz w:val="20"/>
          <w:szCs w:val="20"/>
        </w:rPr>
        <w:t>wanneer</w:t>
      </w:r>
      <w:r w:rsidR="009040C7" w:rsidRPr="00B4470D">
        <w:rPr>
          <w:rFonts w:ascii="Verdana" w:hAnsi="Verdana"/>
          <w:sz w:val="20"/>
          <w:szCs w:val="20"/>
        </w:rPr>
        <w:t xml:space="preserve"> de enige eigen woning een beschermd monument is.</w:t>
      </w:r>
      <w:r w:rsidR="006D5E74" w:rsidRPr="00B4470D">
        <w:rPr>
          <w:rFonts w:ascii="Verdana" w:hAnsi="Verdana"/>
          <w:sz w:val="20"/>
          <w:szCs w:val="20"/>
        </w:rPr>
        <w:t xml:space="preserve"> </w:t>
      </w:r>
      <w:r w:rsidR="00556445" w:rsidRPr="001D307F">
        <w:rPr>
          <w:rFonts w:ascii="Verdana" w:hAnsi="Verdana"/>
          <w:sz w:val="20"/>
          <w:szCs w:val="20"/>
          <w:highlight w:val="yellow"/>
        </w:rPr>
        <w:t xml:space="preserve">Deze verlenging </w:t>
      </w:r>
      <w:r w:rsidR="009F782D" w:rsidRPr="001D307F">
        <w:rPr>
          <w:rFonts w:ascii="Verdana" w:hAnsi="Verdana"/>
          <w:sz w:val="20"/>
          <w:szCs w:val="20"/>
          <w:highlight w:val="yellow"/>
        </w:rPr>
        <w:t xml:space="preserve">is ingegeven vanuit de ingrijpende aard van de werken waartoe de verkrijger zich </w:t>
      </w:r>
      <w:r w:rsidR="00AB6E57" w:rsidRPr="001D307F">
        <w:rPr>
          <w:rFonts w:ascii="Verdana" w:hAnsi="Verdana"/>
          <w:sz w:val="20"/>
          <w:szCs w:val="20"/>
          <w:highlight w:val="yellow"/>
        </w:rPr>
        <w:t>in dergelijke gevallen</w:t>
      </w:r>
      <w:r w:rsidR="009F782D" w:rsidRPr="001D307F">
        <w:rPr>
          <w:rFonts w:ascii="Verdana" w:hAnsi="Verdana"/>
          <w:sz w:val="20"/>
          <w:szCs w:val="20"/>
          <w:highlight w:val="yellow"/>
        </w:rPr>
        <w:t xml:space="preserve"> verbindt.</w:t>
      </w:r>
      <w:r w:rsidR="00DA7A96" w:rsidRPr="001D307F">
        <w:rPr>
          <w:rFonts w:ascii="Verdana" w:hAnsi="Verdana"/>
          <w:sz w:val="20"/>
          <w:szCs w:val="20"/>
          <w:highlight w:val="yellow"/>
        </w:rPr>
        <w:t xml:space="preserve"> Bij de</w:t>
      </w:r>
      <w:r w:rsidR="00556445" w:rsidRPr="001D307F">
        <w:rPr>
          <w:rFonts w:ascii="Verdana" w:hAnsi="Verdana"/>
          <w:sz w:val="20"/>
          <w:szCs w:val="20"/>
          <w:highlight w:val="yellow"/>
        </w:rPr>
        <w:t>ze</w:t>
      </w:r>
      <w:r w:rsidR="00DA7A96" w:rsidRPr="001D307F">
        <w:rPr>
          <w:rFonts w:ascii="Verdana" w:hAnsi="Verdana"/>
          <w:sz w:val="20"/>
          <w:szCs w:val="20"/>
          <w:highlight w:val="yellow"/>
        </w:rPr>
        <w:t xml:space="preserve"> termijnverlenging naar drie jaar werd wel in een overgangsbepaling voorzien voor de aankopen vanaf 1 januari 2022</w:t>
      </w:r>
      <w:r w:rsidR="00C359A6" w:rsidRPr="001D307F">
        <w:rPr>
          <w:rFonts w:ascii="Verdana" w:hAnsi="Verdana"/>
          <w:sz w:val="20"/>
          <w:szCs w:val="20"/>
          <w:highlight w:val="yellow"/>
        </w:rPr>
        <w:t xml:space="preserve"> aangezien v</w:t>
      </w:r>
      <w:r w:rsidR="00DA7A96" w:rsidRPr="001D307F">
        <w:rPr>
          <w:rFonts w:ascii="Verdana" w:hAnsi="Verdana"/>
          <w:sz w:val="20"/>
          <w:szCs w:val="20"/>
          <w:highlight w:val="yellow"/>
        </w:rPr>
        <w:t xml:space="preserve">oor </w:t>
      </w:r>
      <w:r w:rsidR="00C359A6" w:rsidRPr="001D307F">
        <w:rPr>
          <w:rFonts w:ascii="Verdana" w:hAnsi="Verdana"/>
          <w:sz w:val="20"/>
          <w:szCs w:val="20"/>
          <w:highlight w:val="yellow"/>
        </w:rPr>
        <w:t xml:space="preserve">geen enkel van </w:t>
      </w:r>
      <w:r w:rsidR="00DA7A96" w:rsidRPr="001D307F">
        <w:rPr>
          <w:rFonts w:ascii="Verdana" w:hAnsi="Verdana"/>
          <w:sz w:val="20"/>
          <w:szCs w:val="20"/>
          <w:highlight w:val="yellow"/>
        </w:rPr>
        <w:t>deze dossiers de termijn</w:t>
      </w:r>
      <w:r w:rsidR="00DA7A96" w:rsidRPr="00B4470D">
        <w:rPr>
          <w:rFonts w:ascii="Verdana" w:hAnsi="Verdana"/>
          <w:sz w:val="20"/>
          <w:szCs w:val="20"/>
        </w:rPr>
        <w:t xml:space="preserve"> van 2 jaar op 30 december 2022 (datum van inwerkingtreding van het decreet van 9 december 2022) </w:t>
      </w:r>
      <w:r w:rsidR="00C359A6" w:rsidRPr="00B4470D">
        <w:rPr>
          <w:rFonts w:ascii="Verdana" w:hAnsi="Verdana"/>
          <w:sz w:val="20"/>
          <w:szCs w:val="20"/>
        </w:rPr>
        <w:t>al was</w:t>
      </w:r>
      <w:r w:rsidR="00DA7A96" w:rsidRPr="00B4470D">
        <w:rPr>
          <w:rFonts w:ascii="Verdana" w:hAnsi="Verdana"/>
          <w:sz w:val="20"/>
          <w:szCs w:val="20"/>
        </w:rPr>
        <w:t xml:space="preserve"> verstreken. </w:t>
      </w:r>
    </w:p>
    <w:p w14:paraId="45191F5B" w14:textId="6FD4B51B" w:rsidR="008A45EE" w:rsidRPr="00B4470D" w:rsidRDefault="008A45EE" w:rsidP="00B4470D">
      <w:pPr>
        <w:ind w:left="426"/>
        <w:jc w:val="both"/>
        <w:rPr>
          <w:rFonts w:ascii="Verdana" w:hAnsi="Verdana"/>
          <w:sz w:val="20"/>
          <w:szCs w:val="20"/>
        </w:rPr>
      </w:pPr>
    </w:p>
    <w:p w14:paraId="4E4F8965" w14:textId="77777777" w:rsidR="00241E2F" w:rsidRPr="00B4470D" w:rsidRDefault="00241E2F" w:rsidP="00B4470D">
      <w:pPr>
        <w:ind w:left="426"/>
        <w:jc w:val="both"/>
        <w:rPr>
          <w:rFonts w:ascii="Verdana" w:hAnsi="Verdana"/>
          <w:sz w:val="20"/>
          <w:szCs w:val="20"/>
        </w:rPr>
      </w:pPr>
      <w:r w:rsidRPr="00B4470D">
        <w:rPr>
          <w:rFonts w:ascii="Verdana" w:hAnsi="Verdana"/>
          <w:sz w:val="20"/>
          <w:szCs w:val="20"/>
        </w:rPr>
        <w:t xml:space="preserve">Voor aanslagjaar 2019 en 2020 voldeed </w:t>
      </w:r>
      <w:r w:rsidRPr="001D307F">
        <w:rPr>
          <w:rFonts w:ascii="Verdana" w:hAnsi="Verdana"/>
          <w:sz w:val="20"/>
          <w:szCs w:val="20"/>
          <w:highlight w:val="yellow"/>
        </w:rPr>
        <w:t>95% van de dossiers</w:t>
      </w:r>
      <w:r w:rsidRPr="00B4470D">
        <w:rPr>
          <w:rFonts w:ascii="Verdana" w:hAnsi="Verdana"/>
          <w:sz w:val="20"/>
          <w:szCs w:val="20"/>
        </w:rPr>
        <w:t xml:space="preserve">, </w:t>
      </w:r>
      <w:r w:rsidRPr="001D307F">
        <w:rPr>
          <w:rFonts w:ascii="Verdana" w:hAnsi="Verdana"/>
          <w:sz w:val="20"/>
          <w:szCs w:val="20"/>
          <w:highlight w:val="yellow"/>
        </w:rPr>
        <w:t>met een termijn van één jaar</w:t>
      </w:r>
      <w:r w:rsidRPr="00B4470D">
        <w:rPr>
          <w:rFonts w:ascii="Verdana" w:hAnsi="Verdana"/>
          <w:sz w:val="20"/>
          <w:szCs w:val="20"/>
        </w:rPr>
        <w:t xml:space="preserve">, aan de voorwaarden. Voor 2021 zijn nog geen resultaten beschikbaar. </w:t>
      </w:r>
    </w:p>
    <w:p w14:paraId="4E34BED9" w14:textId="1A2EBA54" w:rsidR="008A45EE" w:rsidRPr="00B4470D" w:rsidRDefault="00241E2F" w:rsidP="00B4470D">
      <w:pPr>
        <w:ind w:left="426"/>
        <w:jc w:val="both"/>
        <w:rPr>
          <w:rFonts w:ascii="Verdana" w:hAnsi="Verdana"/>
          <w:sz w:val="20"/>
          <w:szCs w:val="20"/>
        </w:rPr>
      </w:pPr>
      <w:r w:rsidRPr="001D307F">
        <w:rPr>
          <w:rFonts w:ascii="Verdana" w:hAnsi="Verdana"/>
          <w:sz w:val="20"/>
          <w:szCs w:val="20"/>
          <w:highlight w:val="yellow"/>
        </w:rPr>
        <w:t xml:space="preserve">De reden waarom het verlaagd tarief </w:t>
      </w:r>
      <w:r w:rsidR="00ED15B0" w:rsidRPr="001D307F">
        <w:rPr>
          <w:rFonts w:ascii="Verdana" w:hAnsi="Verdana"/>
          <w:sz w:val="20"/>
          <w:szCs w:val="20"/>
          <w:highlight w:val="yellow"/>
        </w:rPr>
        <w:t xml:space="preserve">desgevallend </w:t>
      </w:r>
      <w:r w:rsidRPr="001D307F">
        <w:rPr>
          <w:rFonts w:ascii="Verdana" w:hAnsi="Verdana"/>
          <w:sz w:val="20"/>
          <w:szCs w:val="20"/>
          <w:highlight w:val="yellow"/>
        </w:rPr>
        <w:t>niet kon worden toegepast wordt niet apart geregistreerd</w:t>
      </w:r>
      <w:r w:rsidRPr="00B4470D">
        <w:rPr>
          <w:rFonts w:ascii="Verdana" w:hAnsi="Verdana"/>
          <w:sz w:val="20"/>
          <w:szCs w:val="20"/>
        </w:rPr>
        <w:t xml:space="preserve">. </w:t>
      </w:r>
      <w:r w:rsidR="008A45EE" w:rsidRPr="00B4470D">
        <w:rPr>
          <w:rFonts w:ascii="Verdana" w:hAnsi="Verdana"/>
          <w:sz w:val="20"/>
          <w:szCs w:val="20"/>
        </w:rPr>
        <w:t xml:space="preserve">Ik merk op dat bij de tijdige verkoop van het zogenaamde “verhinderend onroerend bezit” het niet alleen van belang is dat de termijn wordt gerespecteerd maar ook dat er wordt aangetoond dat er een “causaal verband” bestaat tussen de nieuwe aankoop en de vervreemding (bijvoorbeeld financiering van de nieuwe aankoop). </w:t>
      </w:r>
    </w:p>
    <w:p w14:paraId="392A2B6F" w14:textId="41684F02" w:rsidR="00FA2CC8" w:rsidRPr="00B4470D" w:rsidRDefault="00FA2CC8" w:rsidP="00B4470D">
      <w:pPr>
        <w:jc w:val="both"/>
        <w:rPr>
          <w:rFonts w:ascii="Verdana" w:hAnsi="Verdana"/>
          <w:sz w:val="20"/>
          <w:szCs w:val="20"/>
        </w:rPr>
      </w:pPr>
    </w:p>
    <w:p w14:paraId="6F1033A2" w14:textId="2F2093CC" w:rsidR="00024326" w:rsidRPr="00B4470D" w:rsidRDefault="0002744B" w:rsidP="00B4470D">
      <w:pPr>
        <w:numPr>
          <w:ilvl w:val="0"/>
          <w:numId w:val="13"/>
        </w:numPr>
        <w:ind w:left="284" w:hanging="284"/>
        <w:jc w:val="both"/>
        <w:rPr>
          <w:rFonts w:ascii="Verdana" w:hAnsi="Verdana"/>
          <w:sz w:val="20"/>
          <w:szCs w:val="20"/>
        </w:rPr>
      </w:pPr>
      <w:r w:rsidRPr="00B4470D">
        <w:rPr>
          <w:rFonts w:ascii="Verdana" w:hAnsi="Verdana"/>
          <w:sz w:val="20"/>
          <w:szCs w:val="20"/>
        </w:rPr>
        <w:t xml:space="preserve">In onderstaande tabel vindt u </w:t>
      </w:r>
      <w:r w:rsidR="00C60411" w:rsidRPr="00B4470D">
        <w:rPr>
          <w:rFonts w:ascii="Verdana" w:hAnsi="Verdana"/>
          <w:sz w:val="20"/>
          <w:szCs w:val="20"/>
        </w:rPr>
        <w:t xml:space="preserve">per aanslagjaar </w:t>
      </w:r>
      <w:r w:rsidRPr="00B4470D">
        <w:rPr>
          <w:rFonts w:ascii="Verdana" w:hAnsi="Verdana"/>
          <w:sz w:val="20"/>
          <w:szCs w:val="20"/>
        </w:rPr>
        <w:t xml:space="preserve">het aantal </w:t>
      </w:r>
      <w:r w:rsidR="00024326" w:rsidRPr="00B4470D">
        <w:rPr>
          <w:rFonts w:ascii="Verdana" w:hAnsi="Verdana"/>
          <w:sz w:val="20"/>
          <w:szCs w:val="20"/>
        </w:rPr>
        <w:t>aankoopaktes van de enige eigen woning in het Vlaamse Gewest</w:t>
      </w:r>
      <w:r w:rsidR="00414FA2" w:rsidRPr="00B4470D">
        <w:rPr>
          <w:rFonts w:ascii="Verdana" w:hAnsi="Verdana"/>
          <w:sz w:val="20"/>
          <w:szCs w:val="20"/>
        </w:rPr>
        <w:t>.</w:t>
      </w:r>
      <w:r w:rsidR="006B793B" w:rsidRPr="00B4470D">
        <w:rPr>
          <w:rFonts w:ascii="Verdana" w:hAnsi="Verdana"/>
          <w:sz w:val="20"/>
          <w:szCs w:val="20"/>
        </w:rPr>
        <w:t xml:space="preserve"> Dit betreft zowel de aankoop van de enige eigen woning </w:t>
      </w:r>
      <w:r w:rsidR="001E24A2" w:rsidRPr="00B4470D">
        <w:rPr>
          <w:rFonts w:ascii="Verdana" w:hAnsi="Verdana"/>
          <w:sz w:val="20"/>
          <w:szCs w:val="20"/>
        </w:rPr>
        <w:t>a</w:t>
      </w:r>
      <w:r w:rsidR="006B793B" w:rsidRPr="00B4470D">
        <w:rPr>
          <w:rFonts w:ascii="Verdana" w:hAnsi="Verdana"/>
          <w:sz w:val="20"/>
          <w:szCs w:val="20"/>
        </w:rPr>
        <w:t xml:space="preserve">ls de aankoop van de enige eigen woning </w:t>
      </w:r>
      <w:r w:rsidR="001E24A2" w:rsidRPr="00B4470D">
        <w:rPr>
          <w:rFonts w:ascii="Verdana" w:hAnsi="Verdana"/>
          <w:sz w:val="20"/>
          <w:szCs w:val="20"/>
        </w:rPr>
        <w:t>die ingrijpend energetisch gerenoveerd wordt en de aankoop van een beschermd monument als enige eigen woning.</w:t>
      </w:r>
    </w:p>
    <w:p w14:paraId="34BC9544" w14:textId="21775853" w:rsidR="00024326" w:rsidRPr="00B4470D" w:rsidRDefault="00024326" w:rsidP="00B4470D">
      <w:pPr>
        <w:jc w:val="both"/>
        <w:rPr>
          <w:rFonts w:ascii="Verdana" w:hAnsi="Verdana"/>
          <w:sz w:val="20"/>
          <w:szCs w:val="20"/>
        </w:rPr>
      </w:pPr>
    </w:p>
    <w:tbl>
      <w:tblPr>
        <w:tblW w:w="8732" w:type="dxa"/>
        <w:tblInd w:w="279" w:type="dxa"/>
        <w:tblCellMar>
          <w:left w:w="70" w:type="dxa"/>
          <w:right w:w="70" w:type="dxa"/>
        </w:tblCellMar>
        <w:tblLook w:val="04A0" w:firstRow="1" w:lastRow="0" w:firstColumn="1" w:lastColumn="0" w:noHBand="0" w:noVBand="1"/>
      </w:tblPr>
      <w:tblGrid>
        <w:gridCol w:w="4252"/>
        <w:gridCol w:w="1120"/>
        <w:gridCol w:w="1120"/>
        <w:gridCol w:w="1120"/>
        <w:gridCol w:w="1120"/>
      </w:tblGrid>
      <w:tr w:rsidR="00024326" w:rsidRPr="00B4470D" w14:paraId="7708F002" w14:textId="77777777" w:rsidTr="00D076B2">
        <w:trPr>
          <w:trHeight w:val="288"/>
        </w:trPr>
        <w:tc>
          <w:tcPr>
            <w:tcW w:w="4252" w:type="dxa"/>
            <w:tcBorders>
              <w:top w:val="single" w:sz="4" w:space="0" w:color="000000"/>
              <w:left w:val="single" w:sz="4" w:space="0" w:color="000000"/>
              <w:bottom w:val="nil"/>
              <w:right w:val="nil"/>
            </w:tcBorders>
            <w:shd w:val="clear" w:color="auto" w:fill="FFFFFF" w:themeFill="background1"/>
            <w:noWrap/>
            <w:vAlign w:val="bottom"/>
            <w:hideMark/>
          </w:tcPr>
          <w:p w14:paraId="603A2BDE" w14:textId="498D8B08" w:rsidR="00024326" w:rsidRPr="00B4470D" w:rsidRDefault="00024326" w:rsidP="00B4470D">
            <w:pPr>
              <w:jc w:val="right"/>
              <w:rPr>
                <w:rFonts w:ascii="Verdana" w:hAnsi="Verdana" w:cs="Calibri"/>
                <w:b/>
                <w:bCs/>
                <w:sz w:val="20"/>
                <w:szCs w:val="20"/>
                <w:lang w:val="nl-BE" w:eastAsia="nl-BE"/>
              </w:rPr>
            </w:pPr>
          </w:p>
        </w:tc>
        <w:tc>
          <w:tcPr>
            <w:tcW w:w="1120" w:type="dxa"/>
            <w:tcBorders>
              <w:top w:val="single" w:sz="4" w:space="0" w:color="000000"/>
              <w:left w:val="nil"/>
              <w:bottom w:val="nil"/>
              <w:right w:val="nil"/>
            </w:tcBorders>
            <w:shd w:val="clear" w:color="auto" w:fill="FFFFFF" w:themeFill="background1"/>
            <w:noWrap/>
            <w:vAlign w:val="bottom"/>
            <w:hideMark/>
          </w:tcPr>
          <w:p w14:paraId="32B1CB5A" w14:textId="77777777" w:rsidR="00024326" w:rsidRPr="00B4470D" w:rsidRDefault="00024326"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2019</w:t>
            </w:r>
          </w:p>
        </w:tc>
        <w:tc>
          <w:tcPr>
            <w:tcW w:w="1120" w:type="dxa"/>
            <w:tcBorders>
              <w:top w:val="single" w:sz="4" w:space="0" w:color="000000"/>
              <w:left w:val="nil"/>
              <w:bottom w:val="nil"/>
              <w:right w:val="nil"/>
            </w:tcBorders>
            <w:shd w:val="clear" w:color="auto" w:fill="FFFFFF" w:themeFill="background1"/>
            <w:noWrap/>
            <w:vAlign w:val="bottom"/>
            <w:hideMark/>
          </w:tcPr>
          <w:p w14:paraId="69D2FE28" w14:textId="77777777" w:rsidR="00024326" w:rsidRPr="00B4470D" w:rsidRDefault="00024326"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2020</w:t>
            </w:r>
          </w:p>
        </w:tc>
        <w:tc>
          <w:tcPr>
            <w:tcW w:w="1120" w:type="dxa"/>
            <w:tcBorders>
              <w:top w:val="single" w:sz="4" w:space="0" w:color="000000"/>
              <w:left w:val="nil"/>
              <w:bottom w:val="nil"/>
              <w:right w:val="nil"/>
            </w:tcBorders>
            <w:shd w:val="clear" w:color="auto" w:fill="FFFFFF" w:themeFill="background1"/>
            <w:noWrap/>
            <w:vAlign w:val="bottom"/>
            <w:hideMark/>
          </w:tcPr>
          <w:p w14:paraId="5E6D22CA" w14:textId="77777777" w:rsidR="00024326" w:rsidRPr="00B4470D" w:rsidRDefault="00024326"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2021</w:t>
            </w:r>
          </w:p>
        </w:tc>
        <w:tc>
          <w:tcPr>
            <w:tcW w:w="1120" w:type="dxa"/>
            <w:tcBorders>
              <w:top w:val="single" w:sz="4" w:space="0" w:color="000000"/>
              <w:left w:val="nil"/>
              <w:bottom w:val="nil"/>
              <w:right w:val="single" w:sz="4" w:space="0" w:color="000000"/>
            </w:tcBorders>
            <w:shd w:val="clear" w:color="auto" w:fill="FFFFFF" w:themeFill="background1"/>
            <w:noWrap/>
            <w:vAlign w:val="bottom"/>
            <w:hideMark/>
          </w:tcPr>
          <w:p w14:paraId="1BDC8C8E" w14:textId="77777777" w:rsidR="00024326" w:rsidRPr="00B4470D" w:rsidRDefault="00024326"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2022</w:t>
            </w:r>
          </w:p>
        </w:tc>
      </w:tr>
      <w:tr w:rsidR="00024326" w:rsidRPr="00B4470D" w14:paraId="165BD39D" w14:textId="77777777" w:rsidTr="00D076B2">
        <w:trPr>
          <w:trHeight w:val="288"/>
        </w:trPr>
        <w:tc>
          <w:tcPr>
            <w:tcW w:w="4252" w:type="dxa"/>
            <w:tcBorders>
              <w:top w:val="single" w:sz="4" w:space="0" w:color="000000"/>
              <w:left w:val="single" w:sz="4" w:space="0" w:color="000000"/>
              <w:bottom w:val="single" w:sz="4" w:space="0" w:color="000000"/>
              <w:right w:val="nil"/>
            </w:tcBorders>
            <w:shd w:val="clear" w:color="auto" w:fill="auto"/>
            <w:noWrap/>
            <w:vAlign w:val="bottom"/>
            <w:hideMark/>
          </w:tcPr>
          <w:p w14:paraId="2CEC876C" w14:textId="56777C79" w:rsidR="00024326" w:rsidRPr="00B4470D" w:rsidRDefault="00024326" w:rsidP="00B4470D">
            <w:pPr>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Aantal akten</w:t>
            </w:r>
            <w:r w:rsidR="00D076B2" w:rsidRPr="00B4470D">
              <w:rPr>
                <w:rFonts w:ascii="Verdana" w:hAnsi="Verdana" w:cs="Calibri"/>
                <w:color w:val="000000"/>
                <w:sz w:val="20"/>
                <w:szCs w:val="20"/>
                <w:lang w:val="nl-BE" w:eastAsia="nl-BE"/>
              </w:rPr>
              <w:t xml:space="preserve"> aankoop enige eigen gezinswoning</w:t>
            </w:r>
          </w:p>
        </w:tc>
        <w:tc>
          <w:tcPr>
            <w:tcW w:w="1120" w:type="dxa"/>
            <w:tcBorders>
              <w:top w:val="single" w:sz="4" w:space="0" w:color="000000"/>
              <w:left w:val="nil"/>
              <w:bottom w:val="single" w:sz="4" w:space="0" w:color="000000"/>
              <w:right w:val="nil"/>
            </w:tcBorders>
            <w:shd w:val="clear" w:color="auto" w:fill="auto"/>
            <w:noWrap/>
            <w:vAlign w:val="bottom"/>
            <w:hideMark/>
          </w:tcPr>
          <w:p w14:paraId="0913F61B" w14:textId="595FC170" w:rsidR="00024326" w:rsidRPr="00B4470D" w:rsidRDefault="00024326"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68.748</w:t>
            </w:r>
          </w:p>
        </w:tc>
        <w:tc>
          <w:tcPr>
            <w:tcW w:w="1120" w:type="dxa"/>
            <w:tcBorders>
              <w:top w:val="single" w:sz="4" w:space="0" w:color="000000"/>
              <w:left w:val="nil"/>
              <w:bottom w:val="single" w:sz="4" w:space="0" w:color="000000"/>
              <w:right w:val="nil"/>
            </w:tcBorders>
            <w:shd w:val="clear" w:color="auto" w:fill="auto"/>
            <w:noWrap/>
            <w:vAlign w:val="bottom"/>
            <w:hideMark/>
          </w:tcPr>
          <w:p w14:paraId="5DD5224E" w14:textId="091DE6ED" w:rsidR="00024326" w:rsidRPr="00B4470D" w:rsidRDefault="00024326"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50.533</w:t>
            </w:r>
          </w:p>
        </w:tc>
        <w:tc>
          <w:tcPr>
            <w:tcW w:w="1120" w:type="dxa"/>
            <w:tcBorders>
              <w:top w:val="single" w:sz="4" w:space="0" w:color="000000"/>
              <w:left w:val="nil"/>
              <w:bottom w:val="single" w:sz="4" w:space="0" w:color="000000"/>
              <w:right w:val="nil"/>
            </w:tcBorders>
            <w:shd w:val="clear" w:color="auto" w:fill="auto"/>
            <w:noWrap/>
            <w:vAlign w:val="bottom"/>
            <w:hideMark/>
          </w:tcPr>
          <w:p w14:paraId="5491E287" w14:textId="18F93D45" w:rsidR="00024326" w:rsidRPr="00B4470D" w:rsidRDefault="00024326"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56.271</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14:paraId="7BAC26DD" w14:textId="5BACF32C" w:rsidR="00024326" w:rsidRPr="00B4470D" w:rsidRDefault="00024326"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61.805</w:t>
            </w:r>
          </w:p>
        </w:tc>
      </w:tr>
    </w:tbl>
    <w:p w14:paraId="2668E9D3" w14:textId="22916C1C" w:rsidR="00024326" w:rsidRPr="00B4470D" w:rsidRDefault="00024326" w:rsidP="00B4470D">
      <w:pPr>
        <w:jc w:val="both"/>
        <w:rPr>
          <w:rFonts w:ascii="Verdana" w:hAnsi="Verdana"/>
          <w:sz w:val="20"/>
          <w:szCs w:val="20"/>
        </w:rPr>
      </w:pPr>
    </w:p>
    <w:p w14:paraId="5CF071EE" w14:textId="5623DB8B" w:rsidR="001E24A2" w:rsidRPr="00B4470D" w:rsidRDefault="001E24A2" w:rsidP="00B4470D">
      <w:pPr>
        <w:numPr>
          <w:ilvl w:val="0"/>
          <w:numId w:val="13"/>
        </w:numPr>
        <w:ind w:left="284" w:hanging="284"/>
        <w:jc w:val="both"/>
        <w:rPr>
          <w:rFonts w:ascii="Verdana" w:hAnsi="Verdana"/>
          <w:sz w:val="20"/>
          <w:szCs w:val="20"/>
        </w:rPr>
      </w:pPr>
      <w:r w:rsidRPr="001D307F">
        <w:rPr>
          <w:rFonts w:ascii="Verdana" w:hAnsi="Verdana"/>
          <w:sz w:val="20"/>
          <w:szCs w:val="20"/>
          <w:highlight w:val="yellow"/>
        </w:rPr>
        <w:t>Een koper die op datum van de authentieke aankoopakte verhinderend onroerend bezit heeft, kan onmiddellijk aanspraak maken op het verlaagd tarief als hij de tolerantie voor causaal verband inroept.</w:t>
      </w:r>
      <w:r w:rsidRPr="00B4470D">
        <w:rPr>
          <w:rFonts w:ascii="Verdana" w:hAnsi="Verdana"/>
          <w:sz w:val="20"/>
          <w:szCs w:val="20"/>
        </w:rPr>
        <w:t xml:space="preserve"> In dat geval moeten de betrokken kopers er zich in de authentieke aankoopakte toe verbinden de verhinderende woning of bouwgrond volledig en onder bezwarende titel te vervreemden binnen de gestelde termijn en moet worden aangetoond dat er een causaal verband bestaat tussen de vervreemding en de nieuwe aankoop.</w:t>
      </w:r>
    </w:p>
    <w:p w14:paraId="11513664" w14:textId="15680940" w:rsidR="008150DC" w:rsidRPr="00B4470D" w:rsidRDefault="001E24A2" w:rsidP="00B4470D">
      <w:pPr>
        <w:ind w:left="284"/>
        <w:jc w:val="both"/>
        <w:rPr>
          <w:rFonts w:ascii="Verdana" w:hAnsi="Verdana"/>
          <w:sz w:val="20"/>
          <w:szCs w:val="20"/>
        </w:rPr>
      </w:pPr>
      <w:r w:rsidRPr="00B4470D">
        <w:rPr>
          <w:rFonts w:ascii="Verdana" w:hAnsi="Verdana"/>
          <w:sz w:val="20"/>
          <w:szCs w:val="20"/>
        </w:rPr>
        <w:lastRenderedPageBreak/>
        <w:t>Onderstaande tabel bevat het aantal akten per aanslagjaar waarin dergelijke verbintenis is opgenomen</w:t>
      </w:r>
      <w:r w:rsidR="003F6215" w:rsidRPr="00B4470D">
        <w:rPr>
          <w:rFonts w:ascii="Verdana" w:hAnsi="Verdana"/>
          <w:sz w:val="20"/>
          <w:szCs w:val="20"/>
        </w:rPr>
        <w:t xml:space="preserve">. </w:t>
      </w:r>
    </w:p>
    <w:p w14:paraId="39336D53" w14:textId="04F5CAF1" w:rsidR="00D076B2" w:rsidRPr="00B4470D" w:rsidRDefault="00D076B2" w:rsidP="00B4470D">
      <w:pPr>
        <w:jc w:val="both"/>
        <w:rPr>
          <w:rFonts w:ascii="Verdana" w:hAnsi="Verdana"/>
          <w:sz w:val="20"/>
          <w:szCs w:val="20"/>
        </w:rPr>
      </w:pPr>
    </w:p>
    <w:tbl>
      <w:tblPr>
        <w:tblW w:w="8732" w:type="dxa"/>
        <w:tblInd w:w="2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52"/>
        <w:gridCol w:w="1120"/>
        <w:gridCol w:w="1120"/>
        <w:gridCol w:w="1120"/>
        <w:gridCol w:w="1120"/>
      </w:tblGrid>
      <w:tr w:rsidR="00D076B2" w:rsidRPr="00B4470D" w14:paraId="318339CC" w14:textId="77777777" w:rsidTr="003F6215">
        <w:trPr>
          <w:trHeight w:val="288"/>
        </w:trPr>
        <w:tc>
          <w:tcPr>
            <w:tcW w:w="4252" w:type="dxa"/>
            <w:tcBorders>
              <w:top w:val="single" w:sz="4" w:space="0" w:color="auto"/>
              <w:bottom w:val="single" w:sz="4" w:space="0" w:color="auto"/>
            </w:tcBorders>
            <w:shd w:val="clear" w:color="auto" w:fill="FFFFFF" w:themeFill="background1"/>
            <w:noWrap/>
            <w:vAlign w:val="bottom"/>
            <w:hideMark/>
          </w:tcPr>
          <w:p w14:paraId="4EB08566" w14:textId="77777777" w:rsidR="00D076B2" w:rsidRPr="00B4470D" w:rsidRDefault="00D076B2" w:rsidP="00B4470D">
            <w:pPr>
              <w:jc w:val="right"/>
              <w:rPr>
                <w:rFonts w:ascii="Verdana" w:hAnsi="Verdana" w:cs="Calibri"/>
                <w:b/>
                <w:bCs/>
                <w:sz w:val="20"/>
                <w:szCs w:val="20"/>
                <w:lang w:val="nl-BE" w:eastAsia="nl-BE"/>
              </w:rPr>
            </w:pPr>
          </w:p>
        </w:tc>
        <w:tc>
          <w:tcPr>
            <w:tcW w:w="1120" w:type="dxa"/>
            <w:tcBorders>
              <w:top w:val="single" w:sz="4" w:space="0" w:color="auto"/>
              <w:bottom w:val="single" w:sz="4" w:space="0" w:color="auto"/>
            </w:tcBorders>
            <w:shd w:val="clear" w:color="auto" w:fill="FFFFFF" w:themeFill="background1"/>
            <w:noWrap/>
            <w:vAlign w:val="bottom"/>
            <w:hideMark/>
          </w:tcPr>
          <w:p w14:paraId="64FA8979" w14:textId="77777777" w:rsidR="00D076B2" w:rsidRPr="00B4470D" w:rsidRDefault="00D076B2"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2019</w:t>
            </w:r>
          </w:p>
        </w:tc>
        <w:tc>
          <w:tcPr>
            <w:tcW w:w="1120" w:type="dxa"/>
            <w:tcBorders>
              <w:top w:val="single" w:sz="4" w:space="0" w:color="auto"/>
              <w:bottom w:val="single" w:sz="4" w:space="0" w:color="auto"/>
            </w:tcBorders>
            <w:shd w:val="clear" w:color="auto" w:fill="FFFFFF" w:themeFill="background1"/>
            <w:noWrap/>
            <w:vAlign w:val="bottom"/>
            <w:hideMark/>
          </w:tcPr>
          <w:p w14:paraId="7A78C49D" w14:textId="77777777" w:rsidR="00D076B2" w:rsidRPr="00B4470D" w:rsidRDefault="00D076B2"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2020</w:t>
            </w:r>
          </w:p>
        </w:tc>
        <w:tc>
          <w:tcPr>
            <w:tcW w:w="1120" w:type="dxa"/>
            <w:tcBorders>
              <w:top w:val="single" w:sz="4" w:space="0" w:color="auto"/>
              <w:bottom w:val="single" w:sz="4" w:space="0" w:color="auto"/>
            </w:tcBorders>
            <w:shd w:val="clear" w:color="auto" w:fill="FFFFFF" w:themeFill="background1"/>
            <w:noWrap/>
            <w:vAlign w:val="bottom"/>
            <w:hideMark/>
          </w:tcPr>
          <w:p w14:paraId="061BBD31" w14:textId="77777777" w:rsidR="00D076B2" w:rsidRPr="00B4470D" w:rsidRDefault="00D076B2"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2021</w:t>
            </w:r>
          </w:p>
        </w:tc>
        <w:tc>
          <w:tcPr>
            <w:tcW w:w="1120" w:type="dxa"/>
            <w:tcBorders>
              <w:top w:val="single" w:sz="4" w:space="0" w:color="auto"/>
              <w:bottom w:val="single" w:sz="4" w:space="0" w:color="auto"/>
            </w:tcBorders>
            <w:shd w:val="clear" w:color="auto" w:fill="FFFFFF" w:themeFill="background1"/>
            <w:noWrap/>
            <w:vAlign w:val="bottom"/>
            <w:hideMark/>
          </w:tcPr>
          <w:p w14:paraId="7135A18B" w14:textId="77777777" w:rsidR="00D076B2" w:rsidRPr="00B4470D" w:rsidRDefault="00D076B2" w:rsidP="00B4470D">
            <w:pPr>
              <w:jc w:val="right"/>
              <w:rPr>
                <w:rFonts w:ascii="Verdana" w:hAnsi="Verdana" w:cs="Calibri"/>
                <w:b/>
                <w:bCs/>
                <w:sz w:val="20"/>
                <w:szCs w:val="20"/>
                <w:lang w:val="nl-BE" w:eastAsia="nl-BE"/>
              </w:rPr>
            </w:pPr>
            <w:r w:rsidRPr="00B4470D">
              <w:rPr>
                <w:rFonts w:ascii="Verdana" w:hAnsi="Verdana" w:cs="Calibri"/>
                <w:b/>
                <w:bCs/>
                <w:sz w:val="20"/>
                <w:szCs w:val="20"/>
                <w:lang w:val="nl-BE" w:eastAsia="nl-BE"/>
              </w:rPr>
              <w:t>2022</w:t>
            </w:r>
          </w:p>
        </w:tc>
      </w:tr>
      <w:tr w:rsidR="003F6215" w:rsidRPr="00B4470D" w14:paraId="6B2B0187" w14:textId="77777777" w:rsidTr="003F6215">
        <w:trPr>
          <w:trHeight w:val="288"/>
        </w:trPr>
        <w:tc>
          <w:tcPr>
            <w:tcW w:w="4252" w:type="dxa"/>
            <w:tcBorders>
              <w:top w:val="single" w:sz="4" w:space="0" w:color="auto"/>
            </w:tcBorders>
            <w:shd w:val="clear" w:color="auto" w:fill="auto"/>
            <w:noWrap/>
            <w:vAlign w:val="bottom"/>
            <w:hideMark/>
          </w:tcPr>
          <w:p w14:paraId="124D1AF5" w14:textId="4B891FBD" w:rsidR="003F6215" w:rsidRPr="00B4470D" w:rsidRDefault="003F6215" w:rsidP="00B4470D">
            <w:pPr>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Aantal akten causaal verband</w:t>
            </w:r>
          </w:p>
        </w:tc>
        <w:tc>
          <w:tcPr>
            <w:tcW w:w="1120" w:type="dxa"/>
            <w:tcBorders>
              <w:top w:val="single" w:sz="4" w:space="0" w:color="auto"/>
            </w:tcBorders>
            <w:shd w:val="clear" w:color="auto" w:fill="auto"/>
            <w:noWrap/>
            <w:vAlign w:val="bottom"/>
          </w:tcPr>
          <w:p w14:paraId="330FE64C" w14:textId="0768B084" w:rsidR="003F6215" w:rsidRPr="00B4470D" w:rsidRDefault="003F6215"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6.125</w:t>
            </w:r>
          </w:p>
        </w:tc>
        <w:tc>
          <w:tcPr>
            <w:tcW w:w="1120" w:type="dxa"/>
            <w:tcBorders>
              <w:top w:val="single" w:sz="4" w:space="0" w:color="auto"/>
            </w:tcBorders>
            <w:shd w:val="clear" w:color="auto" w:fill="auto"/>
            <w:noWrap/>
            <w:vAlign w:val="bottom"/>
          </w:tcPr>
          <w:p w14:paraId="0402BB6B" w14:textId="56485DA4" w:rsidR="003F6215" w:rsidRPr="00B4470D" w:rsidRDefault="003F6215"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5.025</w:t>
            </w:r>
          </w:p>
        </w:tc>
        <w:tc>
          <w:tcPr>
            <w:tcW w:w="1120" w:type="dxa"/>
            <w:tcBorders>
              <w:top w:val="single" w:sz="4" w:space="0" w:color="auto"/>
            </w:tcBorders>
            <w:shd w:val="clear" w:color="auto" w:fill="auto"/>
            <w:noWrap/>
            <w:vAlign w:val="bottom"/>
          </w:tcPr>
          <w:p w14:paraId="77DCA81F" w14:textId="313D446E" w:rsidR="003F6215" w:rsidRPr="00B4470D" w:rsidRDefault="003F6215"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5.831</w:t>
            </w:r>
          </w:p>
        </w:tc>
        <w:tc>
          <w:tcPr>
            <w:tcW w:w="1120" w:type="dxa"/>
            <w:tcBorders>
              <w:top w:val="single" w:sz="4" w:space="0" w:color="auto"/>
            </w:tcBorders>
            <w:shd w:val="clear" w:color="auto" w:fill="auto"/>
            <w:noWrap/>
            <w:vAlign w:val="bottom"/>
          </w:tcPr>
          <w:p w14:paraId="672AAC90" w14:textId="1677005D" w:rsidR="003F6215" w:rsidRPr="00B4470D" w:rsidRDefault="003F6215" w:rsidP="00B4470D">
            <w:pPr>
              <w:jc w:val="right"/>
              <w:rPr>
                <w:rFonts w:ascii="Verdana" w:hAnsi="Verdana" w:cs="Calibri"/>
                <w:color w:val="000000"/>
                <w:sz w:val="20"/>
                <w:szCs w:val="20"/>
                <w:lang w:val="nl-BE" w:eastAsia="nl-BE"/>
              </w:rPr>
            </w:pPr>
            <w:r w:rsidRPr="00B4470D">
              <w:rPr>
                <w:rFonts w:ascii="Verdana" w:hAnsi="Verdana" w:cs="Calibri"/>
                <w:color w:val="000000"/>
                <w:sz w:val="20"/>
                <w:szCs w:val="20"/>
                <w:lang w:val="nl-BE" w:eastAsia="nl-BE"/>
              </w:rPr>
              <w:t>7.102</w:t>
            </w:r>
          </w:p>
        </w:tc>
      </w:tr>
    </w:tbl>
    <w:p w14:paraId="64774575" w14:textId="77777777" w:rsidR="00D076B2" w:rsidRPr="00B4470D" w:rsidRDefault="00D076B2" w:rsidP="00B4470D">
      <w:pPr>
        <w:jc w:val="both"/>
        <w:rPr>
          <w:rFonts w:ascii="Verdana" w:hAnsi="Verdana"/>
          <w:sz w:val="20"/>
          <w:szCs w:val="20"/>
        </w:rPr>
      </w:pPr>
    </w:p>
    <w:p w14:paraId="44E0F024" w14:textId="05A0B5B1" w:rsidR="001E24A2" w:rsidRPr="00B4470D" w:rsidRDefault="00B4470D" w:rsidP="00B4470D">
      <w:pPr>
        <w:ind w:left="426" w:hanging="426"/>
        <w:jc w:val="both"/>
        <w:rPr>
          <w:rFonts w:ascii="Verdana" w:hAnsi="Verdana"/>
          <w:sz w:val="20"/>
          <w:szCs w:val="20"/>
        </w:rPr>
      </w:pPr>
      <w:r>
        <w:rPr>
          <w:rFonts w:ascii="Verdana" w:hAnsi="Verdana"/>
          <w:sz w:val="20"/>
          <w:szCs w:val="20"/>
        </w:rPr>
        <w:t>6</w:t>
      </w:r>
      <w:r w:rsidR="00EA3C7B" w:rsidRPr="00B4470D">
        <w:rPr>
          <w:rFonts w:ascii="Verdana" w:hAnsi="Verdana"/>
          <w:sz w:val="20"/>
          <w:szCs w:val="20"/>
        </w:rPr>
        <w:t>-8.</w:t>
      </w:r>
      <w:r>
        <w:rPr>
          <w:rFonts w:ascii="Verdana" w:hAnsi="Verdana"/>
          <w:sz w:val="20"/>
          <w:szCs w:val="20"/>
        </w:rPr>
        <w:tab/>
      </w:r>
      <w:r w:rsidR="001E24A2" w:rsidRPr="00B4470D">
        <w:rPr>
          <w:rFonts w:ascii="Verdana" w:hAnsi="Verdana"/>
          <w:sz w:val="20"/>
          <w:szCs w:val="20"/>
        </w:rPr>
        <w:t xml:space="preserve">De regeling van het causaal verband kan, zoals </w:t>
      </w:r>
      <w:r w:rsidR="005E5F2D" w:rsidRPr="00B4470D">
        <w:rPr>
          <w:rFonts w:ascii="Verdana" w:hAnsi="Verdana"/>
          <w:sz w:val="20"/>
          <w:szCs w:val="20"/>
        </w:rPr>
        <w:t xml:space="preserve">hierboven </w:t>
      </w:r>
      <w:r w:rsidR="001E24A2" w:rsidRPr="00B4470D">
        <w:rPr>
          <w:rFonts w:ascii="Verdana" w:hAnsi="Verdana"/>
          <w:sz w:val="20"/>
          <w:szCs w:val="20"/>
        </w:rPr>
        <w:t xml:space="preserve">vermeld, in principe onmiddellijk worden toegepast. </w:t>
      </w:r>
      <w:r w:rsidR="001E24A2" w:rsidRPr="001D307F">
        <w:rPr>
          <w:rFonts w:ascii="Verdana" w:hAnsi="Verdana"/>
          <w:sz w:val="20"/>
          <w:szCs w:val="20"/>
          <w:highlight w:val="yellow"/>
        </w:rPr>
        <w:t xml:space="preserve">Het is ook mogelijk dat de koper </w:t>
      </w:r>
      <w:r w:rsidR="00430124" w:rsidRPr="001D307F">
        <w:rPr>
          <w:rFonts w:ascii="Verdana" w:hAnsi="Verdana"/>
          <w:sz w:val="20"/>
          <w:szCs w:val="20"/>
          <w:highlight w:val="yellow"/>
        </w:rPr>
        <w:t>deze tolerantie</w:t>
      </w:r>
      <w:r w:rsidR="001E24A2" w:rsidRPr="001D307F">
        <w:rPr>
          <w:rFonts w:ascii="Verdana" w:hAnsi="Verdana"/>
          <w:sz w:val="20"/>
          <w:szCs w:val="20"/>
          <w:highlight w:val="yellow"/>
        </w:rPr>
        <w:t xml:space="preserve"> niet onmiddellijk wenst in te roepen</w:t>
      </w:r>
      <w:r w:rsidR="008A757D" w:rsidRPr="001D307F">
        <w:rPr>
          <w:rFonts w:ascii="Verdana" w:hAnsi="Verdana"/>
          <w:sz w:val="20"/>
          <w:szCs w:val="20"/>
          <w:highlight w:val="yellow"/>
        </w:rPr>
        <w:t>, bv. om niet het risico te lopen op een belastingverhoging als het verhinderend onroerend bezit niet tijdig wordt vervreemd</w:t>
      </w:r>
      <w:r w:rsidR="001E24A2" w:rsidRPr="001D307F">
        <w:rPr>
          <w:rFonts w:ascii="Verdana" w:hAnsi="Verdana"/>
          <w:sz w:val="20"/>
          <w:szCs w:val="20"/>
          <w:highlight w:val="yellow"/>
        </w:rPr>
        <w:t>.</w:t>
      </w:r>
      <w:r w:rsidR="0090154B" w:rsidRPr="00B4470D">
        <w:rPr>
          <w:rFonts w:ascii="Verdana" w:hAnsi="Verdana"/>
          <w:sz w:val="20"/>
          <w:szCs w:val="20"/>
        </w:rPr>
        <w:t xml:space="preserve"> </w:t>
      </w:r>
      <w:r w:rsidR="001E24A2" w:rsidRPr="00B4470D">
        <w:rPr>
          <w:rFonts w:ascii="Verdana" w:hAnsi="Verdana"/>
          <w:sz w:val="20"/>
          <w:szCs w:val="20"/>
        </w:rPr>
        <w:t>In dit geval kan het verlaagd tarief genoten worden bij teruggave</w:t>
      </w:r>
      <w:r w:rsidR="00BA0EBE" w:rsidRPr="00B4470D">
        <w:rPr>
          <w:rFonts w:ascii="Verdana" w:hAnsi="Verdana"/>
          <w:sz w:val="20"/>
          <w:szCs w:val="20"/>
        </w:rPr>
        <w:t>,</w:t>
      </w:r>
      <w:r w:rsidR="001E24A2" w:rsidRPr="00B4470D">
        <w:rPr>
          <w:rFonts w:ascii="Verdana" w:hAnsi="Verdana"/>
          <w:sz w:val="20"/>
          <w:szCs w:val="20"/>
        </w:rPr>
        <w:t xml:space="preserve"> door een verklaring met de nodige vermeldingen in te dienen binnen een termijn van vijf jaar.</w:t>
      </w:r>
    </w:p>
    <w:p w14:paraId="6ECE31B7" w14:textId="77777777" w:rsidR="00704C72" w:rsidRPr="00B4470D" w:rsidRDefault="00704C72" w:rsidP="00B4470D">
      <w:pPr>
        <w:ind w:left="284"/>
        <w:jc w:val="both"/>
        <w:rPr>
          <w:rFonts w:ascii="Verdana" w:hAnsi="Verdana"/>
          <w:sz w:val="20"/>
          <w:szCs w:val="20"/>
        </w:rPr>
      </w:pPr>
    </w:p>
    <w:p w14:paraId="6F28305F" w14:textId="6C9DF8A7" w:rsidR="00C60411" w:rsidRPr="00B4470D" w:rsidRDefault="001E24A2" w:rsidP="00B4470D">
      <w:pPr>
        <w:ind w:left="426"/>
        <w:jc w:val="both"/>
        <w:rPr>
          <w:rFonts w:ascii="Verdana" w:hAnsi="Verdana"/>
          <w:sz w:val="20"/>
          <w:szCs w:val="20"/>
        </w:rPr>
      </w:pPr>
      <w:r w:rsidRPr="00B4470D">
        <w:rPr>
          <w:rFonts w:ascii="Verdana" w:hAnsi="Verdana"/>
          <w:sz w:val="20"/>
          <w:szCs w:val="20"/>
        </w:rPr>
        <w:t xml:space="preserve">Aangezien de reden van teruggave </w:t>
      </w:r>
      <w:r w:rsidR="00704C72" w:rsidRPr="00B4470D">
        <w:rPr>
          <w:rFonts w:ascii="Verdana" w:hAnsi="Verdana"/>
          <w:sz w:val="20"/>
          <w:szCs w:val="20"/>
        </w:rPr>
        <w:t xml:space="preserve">echter </w:t>
      </w:r>
      <w:r w:rsidRPr="00B4470D">
        <w:rPr>
          <w:rFonts w:ascii="Verdana" w:hAnsi="Verdana"/>
          <w:sz w:val="20"/>
          <w:szCs w:val="20"/>
        </w:rPr>
        <w:t xml:space="preserve">niet </w:t>
      </w:r>
      <w:r w:rsidR="008A757D" w:rsidRPr="00B4470D">
        <w:rPr>
          <w:rFonts w:ascii="Verdana" w:hAnsi="Verdana"/>
          <w:sz w:val="20"/>
          <w:szCs w:val="20"/>
        </w:rPr>
        <w:t xml:space="preserve">in detail </w:t>
      </w:r>
      <w:r w:rsidRPr="00B4470D">
        <w:rPr>
          <w:rFonts w:ascii="Verdana" w:hAnsi="Verdana"/>
          <w:sz w:val="20"/>
          <w:szCs w:val="20"/>
        </w:rPr>
        <w:t>geregistreerd wordt, zijn er geen cijfers beschikbaar over de teruggavedossiers na vervreemding van een verhinderend onroerend goed</w:t>
      </w:r>
      <w:r w:rsidR="00EA3C7B" w:rsidRPr="00B4470D">
        <w:rPr>
          <w:rFonts w:ascii="Verdana" w:hAnsi="Verdana"/>
          <w:sz w:val="20"/>
          <w:szCs w:val="20"/>
        </w:rPr>
        <w:t>.</w:t>
      </w:r>
    </w:p>
    <w:p w14:paraId="51C7DA80" w14:textId="7B165349" w:rsidR="00DA7EE8" w:rsidRPr="00B4470D" w:rsidRDefault="00DA7EE8" w:rsidP="00B4470D">
      <w:pPr>
        <w:ind w:left="284"/>
        <w:jc w:val="both"/>
        <w:rPr>
          <w:rFonts w:ascii="Verdana" w:hAnsi="Verdana"/>
          <w:sz w:val="20"/>
          <w:szCs w:val="20"/>
        </w:rPr>
      </w:pPr>
    </w:p>
    <w:p w14:paraId="22862237" w14:textId="77777777" w:rsidR="00DA7EE8" w:rsidRPr="00B4470D" w:rsidRDefault="00DA7EE8" w:rsidP="00B4470D">
      <w:pPr>
        <w:pStyle w:val="Tekstopmerking"/>
        <w:rPr>
          <w:rFonts w:ascii="Verdana" w:hAnsi="Verdana"/>
        </w:rPr>
      </w:pPr>
    </w:p>
    <w:sectPr w:rsidR="00DA7EE8" w:rsidRPr="00B4470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319C" w14:textId="77777777" w:rsidR="00972234" w:rsidRDefault="00972234" w:rsidP="004C2DFE">
      <w:r>
        <w:separator/>
      </w:r>
    </w:p>
  </w:endnote>
  <w:endnote w:type="continuationSeparator" w:id="0">
    <w:p w14:paraId="4C5D60DA" w14:textId="77777777" w:rsidR="00972234" w:rsidRDefault="00972234" w:rsidP="004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5497" w14:textId="77777777" w:rsidR="00972234" w:rsidRDefault="00972234" w:rsidP="004C2DFE">
      <w:r>
        <w:separator/>
      </w:r>
    </w:p>
  </w:footnote>
  <w:footnote w:type="continuationSeparator" w:id="0">
    <w:p w14:paraId="260BD0C1" w14:textId="77777777" w:rsidR="00972234" w:rsidRDefault="00972234" w:rsidP="004C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3C"/>
    <w:multiLevelType w:val="hybridMultilevel"/>
    <w:tmpl w:val="BF441B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D9655C"/>
    <w:multiLevelType w:val="hybridMultilevel"/>
    <w:tmpl w:val="66FC5644"/>
    <w:lvl w:ilvl="0" w:tplc="304A0FF4">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752CA7"/>
    <w:multiLevelType w:val="hybridMultilevel"/>
    <w:tmpl w:val="4816E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0C0675"/>
    <w:multiLevelType w:val="hybridMultilevel"/>
    <w:tmpl w:val="26667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9860009"/>
    <w:multiLevelType w:val="multilevel"/>
    <w:tmpl w:val="065A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082247"/>
    <w:multiLevelType w:val="hybridMultilevel"/>
    <w:tmpl w:val="7ADCD48A"/>
    <w:lvl w:ilvl="0" w:tplc="857C6316">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508A012B"/>
    <w:multiLevelType w:val="hybridMultilevel"/>
    <w:tmpl w:val="73AE52B0"/>
    <w:lvl w:ilvl="0" w:tplc="7CA44218">
      <w:start w:val="1"/>
      <w:numFmt w:val="decimal"/>
      <w:lvlText w:val="%1."/>
      <w:lvlJc w:val="left"/>
      <w:pPr>
        <w:ind w:left="360" w:hanging="360"/>
      </w:pPr>
      <w:rPr>
        <w:rFonts w:ascii="Verdana" w:hAnsi="Verdana"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3A820CC"/>
    <w:multiLevelType w:val="hybridMultilevel"/>
    <w:tmpl w:val="EAD44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15:restartNumberingAfterBreak="0">
    <w:nsid w:val="74441E04"/>
    <w:multiLevelType w:val="hybridMultilevel"/>
    <w:tmpl w:val="78BA0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6619048">
    <w:abstractNumId w:val="11"/>
  </w:num>
  <w:num w:numId="2" w16cid:durableId="865216979">
    <w:abstractNumId w:val="11"/>
  </w:num>
  <w:num w:numId="3" w16cid:durableId="1388411098">
    <w:abstractNumId w:val="1"/>
  </w:num>
  <w:num w:numId="4" w16cid:durableId="739856">
    <w:abstractNumId w:val="7"/>
  </w:num>
  <w:num w:numId="5" w16cid:durableId="171913758">
    <w:abstractNumId w:val="5"/>
  </w:num>
  <w:num w:numId="6" w16cid:durableId="23599625">
    <w:abstractNumId w:val="3"/>
  </w:num>
  <w:num w:numId="7" w16cid:durableId="578835119">
    <w:abstractNumId w:val="2"/>
  </w:num>
  <w:num w:numId="8" w16cid:durableId="178663472">
    <w:abstractNumId w:val="10"/>
  </w:num>
  <w:num w:numId="9" w16cid:durableId="337467332">
    <w:abstractNumId w:val="12"/>
  </w:num>
  <w:num w:numId="10" w16cid:durableId="351958594">
    <w:abstractNumId w:val="4"/>
  </w:num>
  <w:num w:numId="11" w16cid:durableId="65736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0322106">
    <w:abstractNumId w:val="0"/>
  </w:num>
  <w:num w:numId="13" w16cid:durableId="525675280">
    <w:abstractNumId w:val="8"/>
  </w:num>
  <w:num w:numId="14" w16cid:durableId="1257977394">
    <w:abstractNumId w:val="6"/>
  </w:num>
  <w:num w:numId="15" w16cid:durableId="1625113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061A"/>
    <w:rsid w:val="00024326"/>
    <w:rsid w:val="0002744B"/>
    <w:rsid w:val="000409D4"/>
    <w:rsid w:val="0006303C"/>
    <w:rsid w:val="00073E3D"/>
    <w:rsid w:val="000878E2"/>
    <w:rsid w:val="00096762"/>
    <w:rsid w:val="000976E9"/>
    <w:rsid w:val="000C4E8C"/>
    <w:rsid w:val="000F2641"/>
    <w:rsid w:val="000F3532"/>
    <w:rsid w:val="000F697B"/>
    <w:rsid w:val="00110C75"/>
    <w:rsid w:val="00117E55"/>
    <w:rsid w:val="00137AAE"/>
    <w:rsid w:val="00145B75"/>
    <w:rsid w:val="001543F2"/>
    <w:rsid w:val="00155A83"/>
    <w:rsid w:val="00174E52"/>
    <w:rsid w:val="001848A1"/>
    <w:rsid w:val="001A6730"/>
    <w:rsid w:val="001C74A0"/>
    <w:rsid w:val="001D307F"/>
    <w:rsid w:val="001E24A2"/>
    <w:rsid w:val="002000A4"/>
    <w:rsid w:val="00210C07"/>
    <w:rsid w:val="002346BF"/>
    <w:rsid w:val="00241E2F"/>
    <w:rsid w:val="002462BC"/>
    <w:rsid w:val="00294114"/>
    <w:rsid w:val="002A1D44"/>
    <w:rsid w:val="002A68C2"/>
    <w:rsid w:val="002D127A"/>
    <w:rsid w:val="002D68A4"/>
    <w:rsid w:val="002E77D3"/>
    <w:rsid w:val="00301372"/>
    <w:rsid w:val="00322184"/>
    <w:rsid w:val="00324090"/>
    <w:rsid w:val="00326A58"/>
    <w:rsid w:val="003461EC"/>
    <w:rsid w:val="003615AB"/>
    <w:rsid w:val="00376622"/>
    <w:rsid w:val="00377362"/>
    <w:rsid w:val="00377C66"/>
    <w:rsid w:val="003A470F"/>
    <w:rsid w:val="003A4C2D"/>
    <w:rsid w:val="003F4337"/>
    <w:rsid w:val="003F6215"/>
    <w:rsid w:val="0040093A"/>
    <w:rsid w:val="00414FA2"/>
    <w:rsid w:val="00420A9D"/>
    <w:rsid w:val="00430124"/>
    <w:rsid w:val="00457567"/>
    <w:rsid w:val="004625B6"/>
    <w:rsid w:val="00483666"/>
    <w:rsid w:val="00484928"/>
    <w:rsid w:val="00490ADC"/>
    <w:rsid w:val="004C2DFE"/>
    <w:rsid w:val="004F30D4"/>
    <w:rsid w:val="00501A0E"/>
    <w:rsid w:val="0050246F"/>
    <w:rsid w:val="005140C0"/>
    <w:rsid w:val="0052633F"/>
    <w:rsid w:val="00532932"/>
    <w:rsid w:val="005446EC"/>
    <w:rsid w:val="00555A44"/>
    <w:rsid w:val="00556010"/>
    <w:rsid w:val="00556445"/>
    <w:rsid w:val="00560F76"/>
    <w:rsid w:val="0056360C"/>
    <w:rsid w:val="00571C63"/>
    <w:rsid w:val="0057445D"/>
    <w:rsid w:val="005764DA"/>
    <w:rsid w:val="00580839"/>
    <w:rsid w:val="005A2334"/>
    <w:rsid w:val="005D5073"/>
    <w:rsid w:val="005E38CA"/>
    <w:rsid w:val="005E5F2D"/>
    <w:rsid w:val="00632FFB"/>
    <w:rsid w:val="006532EE"/>
    <w:rsid w:val="006563FB"/>
    <w:rsid w:val="006667F1"/>
    <w:rsid w:val="006711C5"/>
    <w:rsid w:val="006822A0"/>
    <w:rsid w:val="0069528B"/>
    <w:rsid w:val="0069733A"/>
    <w:rsid w:val="006A1A0D"/>
    <w:rsid w:val="006B793B"/>
    <w:rsid w:val="006D5E74"/>
    <w:rsid w:val="006D7D3A"/>
    <w:rsid w:val="00704C72"/>
    <w:rsid w:val="00710BDC"/>
    <w:rsid w:val="0071248C"/>
    <w:rsid w:val="00715B34"/>
    <w:rsid w:val="007209E8"/>
    <w:rsid w:val="00724A2F"/>
    <w:rsid w:val="007252C7"/>
    <w:rsid w:val="00736FBC"/>
    <w:rsid w:val="00745A3F"/>
    <w:rsid w:val="0075030D"/>
    <w:rsid w:val="0077061C"/>
    <w:rsid w:val="007814B8"/>
    <w:rsid w:val="00793654"/>
    <w:rsid w:val="007C07F4"/>
    <w:rsid w:val="007E081E"/>
    <w:rsid w:val="008114C9"/>
    <w:rsid w:val="008150DC"/>
    <w:rsid w:val="00832CD0"/>
    <w:rsid w:val="00872688"/>
    <w:rsid w:val="008A45EE"/>
    <w:rsid w:val="008A757D"/>
    <w:rsid w:val="008B1B5B"/>
    <w:rsid w:val="008D1BFB"/>
    <w:rsid w:val="008D5DB4"/>
    <w:rsid w:val="0090154B"/>
    <w:rsid w:val="009040C7"/>
    <w:rsid w:val="00932B48"/>
    <w:rsid w:val="009347E0"/>
    <w:rsid w:val="0096303A"/>
    <w:rsid w:val="009675C1"/>
    <w:rsid w:val="00972234"/>
    <w:rsid w:val="009845F1"/>
    <w:rsid w:val="009A3EAE"/>
    <w:rsid w:val="009A5CA0"/>
    <w:rsid w:val="009B3E08"/>
    <w:rsid w:val="009D7043"/>
    <w:rsid w:val="009F782D"/>
    <w:rsid w:val="00A03A06"/>
    <w:rsid w:val="00A16D33"/>
    <w:rsid w:val="00A34F40"/>
    <w:rsid w:val="00A51FBA"/>
    <w:rsid w:val="00A65F1F"/>
    <w:rsid w:val="00A73AD1"/>
    <w:rsid w:val="00A8088E"/>
    <w:rsid w:val="00A80DD6"/>
    <w:rsid w:val="00AB2C5C"/>
    <w:rsid w:val="00AB39FA"/>
    <w:rsid w:val="00AB6E57"/>
    <w:rsid w:val="00AE4255"/>
    <w:rsid w:val="00AF015F"/>
    <w:rsid w:val="00B11326"/>
    <w:rsid w:val="00B26DDC"/>
    <w:rsid w:val="00B4342E"/>
    <w:rsid w:val="00B4470D"/>
    <w:rsid w:val="00B45EB2"/>
    <w:rsid w:val="00B65AA3"/>
    <w:rsid w:val="00B66D84"/>
    <w:rsid w:val="00BA0EBE"/>
    <w:rsid w:val="00BC123E"/>
    <w:rsid w:val="00BC7B8C"/>
    <w:rsid w:val="00BE425A"/>
    <w:rsid w:val="00C359A6"/>
    <w:rsid w:val="00C5186A"/>
    <w:rsid w:val="00C518E7"/>
    <w:rsid w:val="00C60411"/>
    <w:rsid w:val="00C84E47"/>
    <w:rsid w:val="00C91441"/>
    <w:rsid w:val="00CA34C6"/>
    <w:rsid w:val="00CC791A"/>
    <w:rsid w:val="00D02FE6"/>
    <w:rsid w:val="00D076B2"/>
    <w:rsid w:val="00D65732"/>
    <w:rsid w:val="00D71D99"/>
    <w:rsid w:val="00D754F2"/>
    <w:rsid w:val="00D953F9"/>
    <w:rsid w:val="00DA7A96"/>
    <w:rsid w:val="00DA7EE8"/>
    <w:rsid w:val="00DB05B4"/>
    <w:rsid w:val="00DB41C0"/>
    <w:rsid w:val="00DC4DB6"/>
    <w:rsid w:val="00DE476C"/>
    <w:rsid w:val="00E04CD8"/>
    <w:rsid w:val="00E1564A"/>
    <w:rsid w:val="00E55200"/>
    <w:rsid w:val="00E85C8D"/>
    <w:rsid w:val="00E913F4"/>
    <w:rsid w:val="00EA3C7B"/>
    <w:rsid w:val="00EB480F"/>
    <w:rsid w:val="00ED15B0"/>
    <w:rsid w:val="00ED4AD8"/>
    <w:rsid w:val="00F01849"/>
    <w:rsid w:val="00F377BC"/>
    <w:rsid w:val="00F453DA"/>
    <w:rsid w:val="00F50C3F"/>
    <w:rsid w:val="00F62F4E"/>
    <w:rsid w:val="00F72A1E"/>
    <w:rsid w:val="00F9434F"/>
    <w:rsid w:val="00F9592E"/>
    <w:rsid w:val="00FA29D6"/>
    <w:rsid w:val="00FA2CC8"/>
    <w:rsid w:val="00FB7BA4"/>
    <w:rsid w:val="00FC1CEC"/>
    <w:rsid w:val="00FC4B18"/>
    <w:rsid w:val="00FC79AC"/>
    <w:rsid w:val="00FD0594"/>
    <w:rsid w:val="00FD5BF4"/>
    <w:rsid w:val="00FE0D5A"/>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FBAF"/>
  <w15:docId w15:val="{42A2698F-F6B1-4708-B720-250466A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C2DFE"/>
    <w:rPr>
      <w:rFonts w:ascii="Tahoma" w:hAnsi="Tahoma" w:cs="Tahoma"/>
      <w:sz w:val="16"/>
      <w:szCs w:val="16"/>
    </w:rPr>
  </w:style>
  <w:style w:type="character" w:customStyle="1" w:styleId="BallontekstChar">
    <w:name w:val="Ballontekst Char"/>
    <w:basedOn w:val="Standaardalinea-lettertype"/>
    <w:link w:val="Ballontekst"/>
    <w:rsid w:val="004C2DFE"/>
    <w:rPr>
      <w:rFonts w:ascii="Tahoma" w:hAnsi="Tahoma" w:cs="Tahoma"/>
      <w:sz w:val="16"/>
      <w:szCs w:val="16"/>
      <w:lang w:val="nl-NL" w:eastAsia="nl-NL"/>
    </w:rPr>
  </w:style>
  <w:style w:type="paragraph" w:styleId="Lijstalinea">
    <w:name w:val="List Paragraph"/>
    <w:basedOn w:val="Standaard"/>
    <w:uiPriority w:val="34"/>
    <w:qFormat/>
    <w:rsid w:val="004C2DFE"/>
    <w:pPr>
      <w:ind w:left="720"/>
      <w:contextualSpacing/>
    </w:pPr>
  </w:style>
  <w:style w:type="table" w:styleId="Tabelraster">
    <w:name w:val="Table Grid"/>
    <w:basedOn w:val="Standaardtabel"/>
    <w:rsid w:val="004C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4C2DFE"/>
    <w:pPr>
      <w:jc w:val="both"/>
    </w:pPr>
    <w:rPr>
      <w:rFonts w:ascii="Verdana" w:hAnsi="Verdana"/>
      <w:sz w:val="20"/>
      <w:szCs w:val="20"/>
    </w:rPr>
  </w:style>
  <w:style w:type="character" w:customStyle="1" w:styleId="VoetnoottekstChar">
    <w:name w:val="Voetnoottekst Char"/>
    <w:basedOn w:val="Standaardalinea-lettertype"/>
    <w:link w:val="Voetnoottekst"/>
    <w:rsid w:val="004C2DFE"/>
    <w:rPr>
      <w:rFonts w:ascii="Verdana" w:hAnsi="Verdana"/>
      <w:lang w:val="nl-NL" w:eastAsia="nl-NL"/>
    </w:rPr>
  </w:style>
  <w:style w:type="character" w:styleId="Voetnootmarkering">
    <w:name w:val="footnote reference"/>
    <w:basedOn w:val="Standaardalinea-lettertype"/>
    <w:unhideWhenUsed/>
    <w:rsid w:val="004C2DFE"/>
    <w:rPr>
      <w:vertAlign w:val="superscript"/>
    </w:rPr>
  </w:style>
  <w:style w:type="paragraph" w:customStyle="1" w:styleId="Nummering">
    <w:name w:val="Nummering"/>
    <w:basedOn w:val="Lijstalinea"/>
    <w:link w:val="NummeringChar"/>
    <w:qFormat/>
    <w:rsid w:val="00A80DD6"/>
    <w:pPr>
      <w:numPr>
        <w:numId w:val="10"/>
      </w:numPr>
      <w:spacing w:after="120"/>
      <w:contextualSpacing w:val="0"/>
      <w:jc w:val="both"/>
    </w:pPr>
    <w:rPr>
      <w:rFonts w:ascii="Verdana" w:hAnsi="Verdana"/>
      <w:sz w:val="20"/>
      <w:lang w:val="en-US"/>
    </w:rPr>
  </w:style>
  <w:style w:type="character" w:customStyle="1" w:styleId="NummeringChar">
    <w:name w:val="Nummering Char"/>
    <w:link w:val="Nummering"/>
    <w:rsid w:val="00A80DD6"/>
    <w:rPr>
      <w:rFonts w:ascii="Verdana" w:hAnsi="Verdana"/>
      <w:szCs w:val="24"/>
      <w:lang w:val="en-US" w:eastAsia="nl-NL"/>
    </w:rPr>
  </w:style>
  <w:style w:type="character" w:styleId="Verwijzingopmerking">
    <w:name w:val="annotation reference"/>
    <w:basedOn w:val="Standaardalinea-lettertype"/>
    <w:semiHidden/>
    <w:unhideWhenUsed/>
    <w:rsid w:val="00F9592E"/>
    <w:rPr>
      <w:sz w:val="16"/>
      <w:szCs w:val="16"/>
    </w:rPr>
  </w:style>
  <w:style w:type="paragraph" w:styleId="Tekstopmerking">
    <w:name w:val="annotation text"/>
    <w:basedOn w:val="Standaard"/>
    <w:link w:val="TekstopmerkingChar"/>
    <w:unhideWhenUsed/>
    <w:rsid w:val="00F9592E"/>
    <w:rPr>
      <w:sz w:val="20"/>
      <w:szCs w:val="20"/>
    </w:rPr>
  </w:style>
  <w:style w:type="character" w:customStyle="1" w:styleId="TekstopmerkingChar">
    <w:name w:val="Tekst opmerking Char"/>
    <w:basedOn w:val="Standaardalinea-lettertype"/>
    <w:link w:val="Tekstopmerking"/>
    <w:rsid w:val="00F9592E"/>
    <w:rPr>
      <w:lang w:val="nl-NL" w:eastAsia="nl-NL"/>
    </w:rPr>
  </w:style>
  <w:style w:type="paragraph" w:styleId="Onderwerpvanopmerking">
    <w:name w:val="annotation subject"/>
    <w:basedOn w:val="Tekstopmerking"/>
    <w:next w:val="Tekstopmerking"/>
    <w:link w:val="OnderwerpvanopmerkingChar"/>
    <w:semiHidden/>
    <w:unhideWhenUsed/>
    <w:rsid w:val="00F9592E"/>
    <w:rPr>
      <w:b/>
      <w:bCs/>
    </w:rPr>
  </w:style>
  <w:style w:type="character" w:customStyle="1" w:styleId="OnderwerpvanopmerkingChar">
    <w:name w:val="Onderwerp van opmerking Char"/>
    <w:basedOn w:val="TekstopmerkingChar"/>
    <w:link w:val="Onderwerpvanopmerking"/>
    <w:semiHidden/>
    <w:rsid w:val="00F9592E"/>
    <w:rPr>
      <w:b/>
      <w:bCs/>
      <w:lang w:val="nl-NL" w:eastAsia="nl-NL"/>
    </w:rPr>
  </w:style>
  <w:style w:type="paragraph" w:styleId="Normaalweb">
    <w:name w:val="Normal (Web)"/>
    <w:basedOn w:val="Standaard"/>
    <w:uiPriority w:val="99"/>
    <w:semiHidden/>
    <w:unhideWhenUsed/>
    <w:rsid w:val="00E1564A"/>
    <w:pPr>
      <w:spacing w:before="100" w:beforeAutospacing="1" w:after="100" w:afterAutospacing="1"/>
    </w:pPr>
    <w:rPr>
      <w:sz w:val="24"/>
      <w:lang w:val="nl-BE" w:eastAsia="nl-BE"/>
    </w:rPr>
  </w:style>
  <w:style w:type="character" w:styleId="Zwaar">
    <w:name w:val="Strong"/>
    <w:basedOn w:val="Standaardalinea-lettertype"/>
    <w:uiPriority w:val="22"/>
    <w:qFormat/>
    <w:rsid w:val="00E1564A"/>
    <w:rPr>
      <w:b/>
      <w:bCs/>
    </w:rPr>
  </w:style>
  <w:style w:type="character" w:styleId="Hyperlink">
    <w:name w:val="Hyperlink"/>
    <w:basedOn w:val="Standaardalinea-lettertype"/>
    <w:unhideWhenUsed/>
    <w:rsid w:val="00490ADC"/>
    <w:rPr>
      <w:color w:val="0000FF" w:themeColor="hyperlink"/>
      <w:u w:val="single"/>
    </w:rPr>
  </w:style>
  <w:style w:type="character" w:styleId="Onopgelostemelding">
    <w:name w:val="Unresolved Mention"/>
    <w:basedOn w:val="Standaardalinea-lettertype"/>
    <w:uiPriority w:val="99"/>
    <w:semiHidden/>
    <w:unhideWhenUsed/>
    <w:rsid w:val="00490ADC"/>
    <w:rPr>
      <w:color w:val="605E5C"/>
      <w:shd w:val="clear" w:color="auto" w:fill="E1DFDD"/>
    </w:rPr>
  </w:style>
  <w:style w:type="character" w:styleId="GevolgdeHyperlink">
    <w:name w:val="FollowedHyperlink"/>
    <w:basedOn w:val="Standaardalinea-lettertype"/>
    <w:semiHidden/>
    <w:unhideWhenUsed/>
    <w:rsid w:val="00C51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8745">
      <w:bodyDiv w:val="1"/>
      <w:marLeft w:val="0"/>
      <w:marRight w:val="0"/>
      <w:marTop w:val="0"/>
      <w:marBottom w:val="0"/>
      <w:divBdr>
        <w:top w:val="none" w:sz="0" w:space="0" w:color="auto"/>
        <w:left w:val="none" w:sz="0" w:space="0" w:color="auto"/>
        <w:bottom w:val="none" w:sz="0" w:space="0" w:color="auto"/>
        <w:right w:val="none" w:sz="0" w:space="0" w:color="auto"/>
      </w:divBdr>
    </w:div>
    <w:div w:id="362563641">
      <w:bodyDiv w:val="1"/>
      <w:marLeft w:val="0"/>
      <w:marRight w:val="0"/>
      <w:marTop w:val="0"/>
      <w:marBottom w:val="0"/>
      <w:divBdr>
        <w:top w:val="none" w:sz="0" w:space="0" w:color="auto"/>
        <w:left w:val="none" w:sz="0" w:space="0" w:color="auto"/>
        <w:bottom w:val="none" w:sz="0" w:space="0" w:color="auto"/>
        <w:right w:val="none" w:sz="0" w:space="0" w:color="auto"/>
      </w:divBdr>
    </w:div>
    <w:div w:id="519511401">
      <w:bodyDiv w:val="1"/>
      <w:marLeft w:val="0"/>
      <w:marRight w:val="0"/>
      <w:marTop w:val="0"/>
      <w:marBottom w:val="0"/>
      <w:divBdr>
        <w:top w:val="none" w:sz="0" w:space="0" w:color="auto"/>
        <w:left w:val="none" w:sz="0" w:space="0" w:color="auto"/>
        <w:bottom w:val="none" w:sz="0" w:space="0" w:color="auto"/>
        <w:right w:val="none" w:sz="0" w:space="0" w:color="auto"/>
      </w:divBdr>
    </w:div>
    <w:div w:id="529338681">
      <w:bodyDiv w:val="1"/>
      <w:marLeft w:val="0"/>
      <w:marRight w:val="0"/>
      <w:marTop w:val="0"/>
      <w:marBottom w:val="0"/>
      <w:divBdr>
        <w:top w:val="none" w:sz="0" w:space="0" w:color="auto"/>
        <w:left w:val="none" w:sz="0" w:space="0" w:color="auto"/>
        <w:bottom w:val="none" w:sz="0" w:space="0" w:color="auto"/>
        <w:right w:val="none" w:sz="0" w:space="0" w:color="auto"/>
      </w:divBdr>
    </w:div>
    <w:div w:id="670375921">
      <w:bodyDiv w:val="1"/>
      <w:marLeft w:val="0"/>
      <w:marRight w:val="0"/>
      <w:marTop w:val="0"/>
      <w:marBottom w:val="0"/>
      <w:divBdr>
        <w:top w:val="none" w:sz="0" w:space="0" w:color="auto"/>
        <w:left w:val="none" w:sz="0" w:space="0" w:color="auto"/>
        <w:bottom w:val="none" w:sz="0" w:space="0" w:color="auto"/>
        <w:right w:val="none" w:sz="0" w:space="0" w:color="auto"/>
      </w:divBdr>
    </w:div>
    <w:div w:id="878932219">
      <w:bodyDiv w:val="1"/>
      <w:marLeft w:val="0"/>
      <w:marRight w:val="0"/>
      <w:marTop w:val="0"/>
      <w:marBottom w:val="0"/>
      <w:divBdr>
        <w:top w:val="none" w:sz="0" w:space="0" w:color="auto"/>
        <w:left w:val="none" w:sz="0" w:space="0" w:color="auto"/>
        <w:bottom w:val="none" w:sz="0" w:space="0" w:color="auto"/>
        <w:right w:val="none" w:sz="0" w:space="0" w:color="auto"/>
      </w:divBdr>
    </w:div>
    <w:div w:id="1360548918">
      <w:bodyDiv w:val="1"/>
      <w:marLeft w:val="0"/>
      <w:marRight w:val="0"/>
      <w:marTop w:val="0"/>
      <w:marBottom w:val="0"/>
      <w:divBdr>
        <w:top w:val="none" w:sz="0" w:space="0" w:color="auto"/>
        <w:left w:val="none" w:sz="0" w:space="0" w:color="auto"/>
        <w:bottom w:val="none" w:sz="0" w:space="0" w:color="auto"/>
        <w:right w:val="none" w:sz="0" w:space="0" w:color="auto"/>
      </w:divBdr>
    </w:div>
    <w:div w:id="1517421660">
      <w:bodyDiv w:val="1"/>
      <w:marLeft w:val="0"/>
      <w:marRight w:val="0"/>
      <w:marTop w:val="0"/>
      <w:marBottom w:val="0"/>
      <w:divBdr>
        <w:top w:val="none" w:sz="0" w:space="0" w:color="auto"/>
        <w:left w:val="none" w:sz="0" w:space="0" w:color="auto"/>
        <w:bottom w:val="none" w:sz="0" w:space="0" w:color="auto"/>
        <w:right w:val="none" w:sz="0" w:space="0" w:color="auto"/>
      </w:divBdr>
    </w:div>
    <w:div w:id="1552494295">
      <w:bodyDiv w:val="1"/>
      <w:marLeft w:val="0"/>
      <w:marRight w:val="0"/>
      <w:marTop w:val="0"/>
      <w:marBottom w:val="0"/>
      <w:divBdr>
        <w:top w:val="none" w:sz="0" w:space="0" w:color="auto"/>
        <w:left w:val="none" w:sz="0" w:space="0" w:color="auto"/>
        <w:bottom w:val="none" w:sz="0" w:space="0" w:color="auto"/>
        <w:right w:val="none" w:sz="0" w:space="0" w:color="auto"/>
      </w:divBdr>
    </w:div>
    <w:div w:id="19370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44D93"/>
    <w:rsid w:val="000F1969"/>
    <w:rsid w:val="001A5789"/>
    <w:rsid w:val="001C208D"/>
    <w:rsid w:val="002D5A2D"/>
    <w:rsid w:val="0032607E"/>
    <w:rsid w:val="00393627"/>
    <w:rsid w:val="00406E7C"/>
    <w:rsid w:val="004B58F2"/>
    <w:rsid w:val="00583FAB"/>
    <w:rsid w:val="005A1574"/>
    <w:rsid w:val="005A3A9D"/>
    <w:rsid w:val="005C3481"/>
    <w:rsid w:val="00640341"/>
    <w:rsid w:val="007C316A"/>
    <w:rsid w:val="00886502"/>
    <w:rsid w:val="00BE2ED2"/>
    <w:rsid w:val="00BF0B63"/>
    <w:rsid w:val="00C24803"/>
    <w:rsid w:val="00C3444C"/>
    <w:rsid w:val="00C5280E"/>
    <w:rsid w:val="00CB70C0"/>
    <w:rsid w:val="00D31BEF"/>
    <w:rsid w:val="00DB41C1"/>
    <w:rsid w:val="00DB4381"/>
    <w:rsid w:val="00E56F3D"/>
    <w:rsid w:val="00E60157"/>
    <w:rsid w:val="00F04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3510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5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9EA5-1F91-4F47-B33C-36E73A55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D3C6-1123-4035-8AAD-58D92255BA59}">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3.xml><?xml version="1.0" encoding="utf-8"?>
<ds:datastoreItem xmlns:ds="http://schemas.openxmlformats.org/officeDocument/2006/customXml" ds:itemID="{6EEECC5C-7A40-4356-BDCA-0A1F679073DC}">
  <ds:schemaRefs>
    <ds:schemaRef ds:uri="http://schemas.microsoft.com/sharepoint/v3/contenttype/forms"/>
  </ds:schemaRefs>
</ds:datastoreItem>
</file>

<file path=customXml/itemProps4.xml><?xml version="1.0" encoding="utf-8"?>
<ds:datastoreItem xmlns:ds="http://schemas.openxmlformats.org/officeDocument/2006/customXml" ds:itemID="{90F349D8-2C97-4E0B-BF77-D829F04A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60</TotalTime>
  <Pages>2</Pages>
  <Words>583</Words>
  <Characters>3400</Characters>
  <Application>Microsoft Office Word</Application>
  <DocSecurity>0</DocSecurity>
  <Lines>94</Lines>
  <Paragraphs>30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Jasper Verheyden</cp:lastModifiedBy>
  <cp:revision>5</cp:revision>
  <cp:lastPrinted>2014-08-26T13:40:00Z</cp:lastPrinted>
  <dcterms:created xsi:type="dcterms:W3CDTF">2023-01-20T08:53:00Z</dcterms:created>
  <dcterms:modified xsi:type="dcterms:W3CDTF">2023-01-25T09:15:00Z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647eca87-b5a8-489b-8fb9-0492a8443605</vt:lpwstr>
  </property>
  <property fmtid="{D5CDD505-2E9C-101B-9397-08002B2CF9AE}" pid="3" name="ContentTypeId">
    <vt:lpwstr>0x0101002E216F35AF2CB9468CD9A6F9808E74AF</vt:lpwstr>
  </property>
</Properties>
</file>