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380F" w14:textId="77777777" w:rsidR="00214C83" w:rsidRPr="00D61A1D" w:rsidRDefault="00214C83" w:rsidP="00214C83">
      <w:pPr>
        <w:jc w:val="both"/>
        <w:outlineLvl w:val="0"/>
        <w:rPr>
          <w:rFonts w:ascii="Verdana" w:hAnsi="Verdana"/>
          <w:b/>
          <w:smallCaps/>
          <w:sz w:val="20"/>
          <w:lang w:val="nl-BE"/>
        </w:rPr>
      </w:pPr>
      <w:proofErr w:type="spellStart"/>
      <w:r w:rsidRPr="00D61A1D">
        <w:rPr>
          <w:rFonts w:ascii="Verdana" w:hAnsi="Verdana"/>
          <w:b/>
          <w:smallCaps/>
          <w:sz w:val="20"/>
          <w:lang w:val="nl-BE"/>
        </w:rPr>
        <w:t>lydia</w:t>
      </w:r>
      <w:proofErr w:type="spellEnd"/>
      <w:r w:rsidRPr="00D61A1D">
        <w:rPr>
          <w:rFonts w:ascii="Verdana" w:hAnsi="Verdana"/>
          <w:b/>
          <w:smallCaps/>
          <w:sz w:val="20"/>
          <w:lang w:val="nl-BE"/>
        </w:rPr>
        <w:t xml:space="preserve"> </w:t>
      </w:r>
      <w:proofErr w:type="spellStart"/>
      <w:r w:rsidRPr="00D61A1D">
        <w:rPr>
          <w:rFonts w:ascii="Verdana" w:hAnsi="Verdana"/>
          <w:b/>
          <w:smallCaps/>
          <w:sz w:val="20"/>
          <w:lang w:val="nl-BE"/>
        </w:rPr>
        <w:t>peeters</w:t>
      </w:r>
      <w:proofErr w:type="spellEnd"/>
      <w:r w:rsidRPr="00D61A1D">
        <w:rPr>
          <w:rFonts w:ascii="Verdana" w:hAnsi="Verdana"/>
          <w:b/>
          <w:smallCaps/>
          <w:sz w:val="20"/>
          <w:lang w:val="nl-BE"/>
        </w:rPr>
        <w:t xml:space="preserve"> </w:t>
      </w:r>
    </w:p>
    <w:p w14:paraId="3F6C7124" w14:textId="77777777" w:rsidR="00214C83" w:rsidRPr="00D61A1D" w:rsidRDefault="00214C83" w:rsidP="00214C83">
      <w:pPr>
        <w:jc w:val="both"/>
        <w:rPr>
          <w:rFonts w:ascii="Verdana" w:hAnsi="Verdana"/>
          <w:smallCaps/>
          <w:sz w:val="20"/>
          <w:lang w:val="nl-BE"/>
        </w:rPr>
      </w:pPr>
      <w:proofErr w:type="spellStart"/>
      <w:r w:rsidRPr="00D61A1D">
        <w:rPr>
          <w:rFonts w:ascii="Verdana" w:hAnsi="Verdana"/>
          <w:smallCaps/>
          <w:sz w:val="20"/>
          <w:lang w:val="nl-BE"/>
        </w:rPr>
        <w:t>vlaams</w:t>
      </w:r>
      <w:proofErr w:type="spellEnd"/>
      <w:r w:rsidRPr="00D61A1D">
        <w:rPr>
          <w:rFonts w:ascii="Verdana" w:hAnsi="Verdana"/>
          <w:smallCaps/>
          <w:sz w:val="20"/>
          <w:lang w:val="nl-BE"/>
        </w:rPr>
        <w:t xml:space="preserve"> minister van mobiliteit en openbare werken</w:t>
      </w:r>
    </w:p>
    <w:p w14:paraId="3E3D35D0" w14:textId="77777777" w:rsidR="00214C83" w:rsidRPr="00D61A1D" w:rsidRDefault="00214C83" w:rsidP="00214C83">
      <w:pPr>
        <w:pStyle w:val="StandaardSV"/>
        <w:pBdr>
          <w:bottom w:val="single" w:sz="4" w:space="1" w:color="auto"/>
        </w:pBdr>
        <w:rPr>
          <w:rFonts w:ascii="Verdana" w:hAnsi="Verdana"/>
          <w:sz w:val="20"/>
          <w:lang w:val="nl-BE"/>
        </w:rPr>
      </w:pPr>
    </w:p>
    <w:p w14:paraId="4D464E32" w14:textId="77777777" w:rsidR="00214C83" w:rsidRPr="00D61A1D" w:rsidRDefault="00214C83" w:rsidP="00214C83">
      <w:pPr>
        <w:jc w:val="both"/>
        <w:rPr>
          <w:rFonts w:ascii="Verdana" w:hAnsi="Verdana"/>
          <w:sz w:val="20"/>
        </w:rPr>
      </w:pPr>
    </w:p>
    <w:p w14:paraId="1D32A1A4" w14:textId="77777777" w:rsidR="00214C83" w:rsidRPr="00D61A1D" w:rsidRDefault="00214C83" w:rsidP="00214C83">
      <w:pPr>
        <w:jc w:val="both"/>
        <w:outlineLvl w:val="0"/>
        <w:rPr>
          <w:rFonts w:ascii="Verdana" w:hAnsi="Verdana"/>
          <w:sz w:val="20"/>
          <w:lang w:val="nl-BE"/>
        </w:rPr>
      </w:pPr>
      <w:r w:rsidRPr="00D61A1D">
        <w:rPr>
          <w:rFonts w:ascii="Verdana" w:hAnsi="Verdana"/>
          <w:b/>
          <w:smallCaps/>
          <w:sz w:val="20"/>
          <w:lang w:val="nl-BE"/>
        </w:rPr>
        <w:t>antwoord</w:t>
      </w:r>
    </w:p>
    <w:p w14:paraId="3A6FE360" w14:textId="77777777" w:rsidR="00214C83" w:rsidRPr="00D61A1D" w:rsidRDefault="00214C83" w:rsidP="00214C83">
      <w:pPr>
        <w:jc w:val="both"/>
        <w:outlineLvl w:val="0"/>
        <w:rPr>
          <w:rFonts w:ascii="Verdana" w:hAnsi="Verdana"/>
          <w:sz w:val="20"/>
        </w:rPr>
      </w:pPr>
      <w:r w:rsidRPr="00D61A1D">
        <w:rPr>
          <w:rFonts w:ascii="Verdana" w:hAnsi="Verdana"/>
          <w:sz w:val="20"/>
        </w:rPr>
        <w:t>op vraag nr. 473 van 21 december 2022</w:t>
      </w:r>
    </w:p>
    <w:p w14:paraId="7172A8B2" w14:textId="77777777" w:rsidR="00214C83" w:rsidRPr="00D61A1D" w:rsidRDefault="00214C83" w:rsidP="00214C83">
      <w:pPr>
        <w:jc w:val="both"/>
        <w:rPr>
          <w:rFonts w:ascii="Verdana" w:hAnsi="Verdana"/>
          <w:b/>
          <w:sz w:val="20"/>
        </w:rPr>
      </w:pPr>
      <w:r w:rsidRPr="00D61A1D">
        <w:rPr>
          <w:rFonts w:ascii="Verdana" w:hAnsi="Verdana"/>
          <w:sz w:val="20"/>
        </w:rPr>
        <w:t xml:space="preserve">van </w:t>
      </w:r>
      <w:proofErr w:type="spellStart"/>
      <w:r w:rsidRPr="00D61A1D">
        <w:rPr>
          <w:rFonts w:ascii="Verdana" w:hAnsi="Verdana"/>
          <w:b/>
          <w:smallCaps/>
          <w:sz w:val="20"/>
        </w:rPr>
        <w:t>mercedes</w:t>
      </w:r>
      <w:proofErr w:type="spellEnd"/>
      <w:r w:rsidRPr="00D61A1D">
        <w:rPr>
          <w:rFonts w:ascii="Verdana" w:hAnsi="Verdana"/>
          <w:b/>
          <w:smallCaps/>
          <w:sz w:val="20"/>
        </w:rPr>
        <w:t xml:space="preserve"> van </w:t>
      </w:r>
      <w:proofErr w:type="spellStart"/>
      <w:r w:rsidRPr="00D61A1D">
        <w:rPr>
          <w:rFonts w:ascii="Verdana" w:hAnsi="Verdana"/>
          <w:b/>
          <w:smallCaps/>
          <w:sz w:val="20"/>
        </w:rPr>
        <w:t>volcem</w:t>
      </w:r>
      <w:proofErr w:type="spellEnd"/>
    </w:p>
    <w:p w14:paraId="56BEB82A" w14:textId="77777777" w:rsidR="00214C83" w:rsidRPr="00D61A1D" w:rsidRDefault="00214C83" w:rsidP="00214C83">
      <w:pPr>
        <w:pBdr>
          <w:bottom w:val="single" w:sz="4" w:space="1" w:color="auto"/>
        </w:pBdr>
        <w:jc w:val="both"/>
        <w:rPr>
          <w:rFonts w:ascii="Verdana" w:hAnsi="Verdana"/>
          <w:sz w:val="20"/>
        </w:rPr>
      </w:pPr>
    </w:p>
    <w:p w14:paraId="6DABF4B4" w14:textId="77777777" w:rsidR="00214C83" w:rsidRPr="00D61A1D" w:rsidRDefault="00214C83" w:rsidP="001D23AF">
      <w:pPr>
        <w:pStyle w:val="StandaardSV"/>
        <w:rPr>
          <w:rFonts w:ascii="Verdana" w:hAnsi="Verdana"/>
          <w:sz w:val="20"/>
        </w:rPr>
      </w:pPr>
    </w:p>
    <w:p w14:paraId="78D7883C" w14:textId="77777777" w:rsidR="00214C83" w:rsidRPr="00D61A1D" w:rsidRDefault="00214C83" w:rsidP="001D23AF">
      <w:pPr>
        <w:pStyle w:val="StandaardSV"/>
        <w:rPr>
          <w:rFonts w:ascii="Verdana" w:hAnsi="Verdana"/>
          <w:sz w:val="20"/>
        </w:rPr>
      </w:pPr>
    </w:p>
    <w:p w14:paraId="77541365" w14:textId="0E2FC25D" w:rsidR="001D23AF" w:rsidRPr="00D61A1D" w:rsidRDefault="001D23AF" w:rsidP="001D23AF">
      <w:pPr>
        <w:pStyle w:val="Lijstalinea"/>
        <w:numPr>
          <w:ilvl w:val="0"/>
          <w:numId w:val="46"/>
        </w:numPr>
        <w:spacing w:after="0" w:line="240" w:lineRule="auto"/>
        <w:jc w:val="both"/>
        <w:rPr>
          <w:rFonts w:ascii="Verdana" w:hAnsi="Verdana"/>
          <w:sz w:val="20"/>
          <w:szCs w:val="20"/>
        </w:rPr>
      </w:pPr>
      <w:r w:rsidRPr="00D61A1D">
        <w:rPr>
          <w:rFonts w:ascii="Verdana" w:eastAsia="Verdana" w:hAnsi="Verdana" w:cs="Verdana"/>
          <w:sz w:val="20"/>
          <w:szCs w:val="20"/>
        </w:rPr>
        <w:t xml:space="preserve">Hieronder worden de cijfers van de verwijlintresten gevoegd voor het beleidsdomein MOW, bestaande uit de drie entiteiten van het ministerie (Departement MOW, Agentschap Maritieme Dienstverlening en Kust, en Agentschap Wegen en Verkeer) en De Vlaamse Waterweg. Ook de cijfers voor 2022 werden toegevoegd ter vervollediging. </w:t>
      </w:r>
    </w:p>
    <w:p w14:paraId="59401983" w14:textId="77777777" w:rsidR="001D23AF" w:rsidRPr="00D61A1D" w:rsidRDefault="001D23AF" w:rsidP="001D23AF">
      <w:pPr>
        <w:pStyle w:val="Lijstalinea"/>
        <w:spacing w:after="0" w:line="240" w:lineRule="auto"/>
        <w:ind w:left="360"/>
        <w:jc w:val="both"/>
        <w:rPr>
          <w:rFonts w:ascii="Verdana" w:hAnsi="Verdana"/>
          <w:sz w:val="20"/>
          <w:szCs w:val="20"/>
        </w:rPr>
      </w:pPr>
    </w:p>
    <w:tbl>
      <w:tblPr>
        <w:tblW w:w="7360" w:type="dxa"/>
        <w:tblInd w:w="841" w:type="dxa"/>
        <w:tblCellMar>
          <w:left w:w="70" w:type="dxa"/>
          <w:right w:w="70" w:type="dxa"/>
        </w:tblCellMar>
        <w:tblLook w:val="04A0" w:firstRow="1" w:lastRow="0" w:firstColumn="1" w:lastColumn="0" w:noHBand="0" w:noVBand="1"/>
      </w:tblPr>
      <w:tblGrid>
        <w:gridCol w:w="960"/>
        <w:gridCol w:w="1280"/>
        <w:gridCol w:w="1280"/>
        <w:gridCol w:w="1280"/>
        <w:gridCol w:w="1280"/>
        <w:gridCol w:w="1280"/>
      </w:tblGrid>
      <w:tr w:rsidR="00F31529" w:rsidRPr="00D61A1D" w14:paraId="4DA2E0A7" w14:textId="77777777" w:rsidTr="00F31529">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ABA83C" w14:textId="77777777" w:rsidR="00F31529" w:rsidRPr="00D61A1D" w:rsidRDefault="00F31529" w:rsidP="00F31529">
            <w:pPr>
              <w:rPr>
                <w:rFonts w:ascii="Verdana" w:hAnsi="Verdana" w:cs="Calibri"/>
                <w:color w:val="000000"/>
                <w:sz w:val="20"/>
                <w:lang w:val="nl-BE" w:eastAsia="nl-BE"/>
              </w:rPr>
            </w:pPr>
            <w:r w:rsidRPr="00D61A1D">
              <w:rPr>
                <w:rFonts w:ascii="Verdana" w:hAnsi="Verdana" w:cs="Calibri"/>
                <w:color w:val="000000"/>
                <w:sz w:val="20"/>
                <w:lang w:val="nl-BE" w:eastAsia="nl-BE"/>
              </w:rPr>
              <w:t> </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0461F8F7" w14:textId="77777777" w:rsidR="00F31529" w:rsidRPr="00D61A1D" w:rsidRDefault="00F31529" w:rsidP="00F31529">
            <w:pPr>
              <w:jc w:val="right"/>
              <w:rPr>
                <w:rFonts w:ascii="Verdana" w:hAnsi="Verdana" w:cs="Calibri"/>
                <w:b/>
                <w:bCs/>
                <w:color w:val="000000"/>
                <w:sz w:val="20"/>
                <w:lang w:val="nl-BE" w:eastAsia="nl-BE"/>
              </w:rPr>
            </w:pPr>
            <w:r w:rsidRPr="00D61A1D">
              <w:rPr>
                <w:rFonts w:ascii="Verdana" w:hAnsi="Verdana" w:cs="Calibri"/>
                <w:b/>
                <w:bCs/>
                <w:color w:val="000000"/>
                <w:sz w:val="20"/>
                <w:lang w:eastAsia="nl-BE"/>
              </w:rPr>
              <w:t>2013</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3D98D640" w14:textId="77777777" w:rsidR="00F31529" w:rsidRPr="00D61A1D" w:rsidRDefault="00F31529" w:rsidP="00F31529">
            <w:pPr>
              <w:jc w:val="right"/>
              <w:rPr>
                <w:rFonts w:ascii="Verdana" w:hAnsi="Verdana" w:cs="Calibri"/>
                <w:b/>
                <w:bCs/>
                <w:color w:val="000000"/>
                <w:sz w:val="20"/>
                <w:lang w:val="nl-BE" w:eastAsia="nl-BE"/>
              </w:rPr>
            </w:pPr>
            <w:r w:rsidRPr="00D61A1D">
              <w:rPr>
                <w:rFonts w:ascii="Verdana" w:hAnsi="Verdana" w:cs="Calibri"/>
                <w:b/>
                <w:bCs/>
                <w:color w:val="000000"/>
                <w:sz w:val="20"/>
                <w:lang w:eastAsia="nl-BE"/>
              </w:rPr>
              <w:t>2014</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2B6029C5" w14:textId="77777777" w:rsidR="00F31529" w:rsidRPr="00D61A1D" w:rsidRDefault="00F31529" w:rsidP="00F31529">
            <w:pPr>
              <w:jc w:val="right"/>
              <w:rPr>
                <w:rFonts w:ascii="Verdana" w:hAnsi="Verdana" w:cs="Calibri"/>
                <w:b/>
                <w:bCs/>
                <w:color w:val="000000"/>
                <w:sz w:val="20"/>
                <w:lang w:val="nl-BE" w:eastAsia="nl-BE"/>
              </w:rPr>
            </w:pPr>
            <w:r w:rsidRPr="00D61A1D">
              <w:rPr>
                <w:rFonts w:ascii="Verdana" w:hAnsi="Verdana" w:cs="Calibri"/>
                <w:b/>
                <w:bCs/>
                <w:color w:val="000000"/>
                <w:sz w:val="20"/>
                <w:lang w:eastAsia="nl-BE"/>
              </w:rPr>
              <w:t>2015</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232F4036" w14:textId="77777777" w:rsidR="00F31529" w:rsidRPr="00D61A1D" w:rsidRDefault="00F31529" w:rsidP="00F31529">
            <w:pPr>
              <w:jc w:val="right"/>
              <w:rPr>
                <w:rFonts w:ascii="Verdana" w:hAnsi="Verdana" w:cs="Calibri"/>
                <w:b/>
                <w:bCs/>
                <w:color w:val="000000"/>
                <w:sz w:val="20"/>
                <w:lang w:val="nl-BE" w:eastAsia="nl-BE"/>
              </w:rPr>
            </w:pPr>
            <w:r w:rsidRPr="00D61A1D">
              <w:rPr>
                <w:rFonts w:ascii="Verdana" w:hAnsi="Verdana" w:cs="Calibri"/>
                <w:b/>
                <w:bCs/>
                <w:color w:val="000000"/>
                <w:sz w:val="20"/>
                <w:lang w:eastAsia="nl-BE"/>
              </w:rPr>
              <w:t>2016</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66BF22B1" w14:textId="77777777" w:rsidR="00F31529" w:rsidRPr="00D61A1D" w:rsidRDefault="00F31529" w:rsidP="00F31529">
            <w:pPr>
              <w:jc w:val="right"/>
              <w:rPr>
                <w:rFonts w:ascii="Verdana" w:hAnsi="Verdana" w:cs="Calibri"/>
                <w:b/>
                <w:bCs/>
                <w:color w:val="000000"/>
                <w:sz w:val="20"/>
                <w:lang w:val="nl-BE" w:eastAsia="nl-BE"/>
              </w:rPr>
            </w:pPr>
            <w:r w:rsidRPr="00D61A1D">
              <w:rPr>
                <w:rFonts w:ascii="Verdana" w:hAnsi="Verdana" w:cs="Calibri"/>
                <w:b/>
                <w:bCs/>
                <w:color w:val="000000"/>
                <w:sz w:val="20"/>
                <w:lang w:eastAsia="nl-BE"/>
              </w:rPr>
              <w:t>2017</w:t>
            </w:r>
          </w:p>
        </w:tc>
      </w:tr>
      <w:tr w:rsidR="00F31529" w:rsidRPr="00D61A1D" w14:paraId="0520F3E9" w14:textId="77777777" w:rsidTr="00F31529">
        <w:trPr>
          <w:trHeight w:val="30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C914646" w14:textId="77777777" w:rsidR="00F31529" w:rsidRPr="00D61A1D" w:rsidRDefault="00F31529" w:rsidP="00F31529">
            <w:pPr>
              <w:rPr>
                <w:rFonts w:ascii="Verdana" w:hAnsi="Verdana" w:cs="Calibri"/>
                <w:b/>
                <w:bCs/>
                <w:color w:val="000000"/>
                <w:sz w:val="20"/>
                <w:lang w:val="nl-BE" w:eastAsia="nl-BE"/>
              </w:rPr>
            </w:pPr>
            <w:r w:rsidRPr="00D61A1D">
              <w:rPr>
                <w:rFonts w:ascii="Verdana" w:hAnsi="Verdana" w:cs="Calibri"/>
                <w:b/>
                <w:bCs/>
                <w:color w:val="000000"/>
                <w:sz w:val="20"/>
                <w:lang w:eastAsia="nl-BE"/>
              </w:rPr>
              <w:t>AWV</w:t>
            </w:r>
          </w:p>
        </w:tc>
        <w:tc>
          <w:tcPr>
            <w:tcW w:w="1280" w:type="dxa"/>
            <w:tcBorders>
              <w:top w:val="nil"/>
              <w:left w:val="nil"/>
              <w:bottom w:val="single" w:sz="8" w:space="0" w:color="auto"/>
              <w:right w:val="single" w:sz="8" w:space="0" w:color="auto"/>
            </w:tcBorders>
            <w:shd w:val="clear" w:color="auto" w:fill="auto"/>
            <w:vAlign w:val="center"/>
            <w:hideMark/>
          </w:tcPr>
          <w:p w14:paraId="6C41E2F0"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4.563.818</w:t>
            </w:r>
          </w:p>
        </w:tc>
        <w:tc>
          <w:tcPr>
            <w:tcW w:w="1280" w:type="dxa"/>
            <w:tcBorders>
              <w:top w:val="nil"/>
              <w:left w:val="nil"/>
              <w:bottom w:val="single" w:sz="8" w:space="0" w:color="auto"/>
              <w:right w:val="single" w:sz="8" w:space="0" w:color="auto"/>
            </w:tcBorders>
            <w:shd w:val="clear" w:color="auto" w:fill="auto"/>
            <w:vAlign w:val="center"/>
            <w:hideMark/>
          </w:tcPr>
          <w:p w14:paraId="36AC069A"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4.776.255</w:t>
            </w:r>
          </w:p>
        </w:tc>
        <w:tc>
          <w:tcPr>
            <w:tcW w:w="1280" w:type="dxa"/>
            <w:tcBorders>
              <w:top w:val="nil"/>
              <w:left w:val="nil"/>
              <w:bottom w:val="single" w:sz="8" w:space="0" w:color="auto"/>
              <w:right w:val="single" w:sz="8" w:space="0" w:color="auto"/>
            </w:tcBorders>
            <w:shd w:val="clear" w:color="auto" w:fill="auto"/>
            <w:vAlign w:val="center"/>
            <w:hideMark/>
          </w:tcPr>
          <w:p w14:paraId="00860DB4"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3.034.726</w:t>
            </w:r>
          </w:p>
        </w:tc>
        <w:tc>
          <w:tcPr>
            <w:tcW w:w="1280" w:type="dxa"/>
            <w:tcBorders>
              <w:top w:val="nil"/>
              <w:left w:val="nil"/>
              <w:bottom w:val="single" w:sz="8" w:space="0" w:color="auto"/>
              <w:right w:val="single" w:sz="8" w:space="0" w:color="auto"/>
            </w:tcBorders>
            <w:shd w:val="clear" w:color="auto" w:fill="auto"/>
            <w:vAlign w:val="center"/>
            <w:hideMark/>
          </w:tcPr>
          <w:p w14:paraId="31C85801"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2.810.277</w:t>
            </w:r>
          </w:p>
        </w:tc>
        <w:tc>
          <w:tcPr>
            <w:tcW w:w="1280" w:type="dxa"/>
            <w:tcBorders>
              <w:top w:val="nil"/>
              <w:left w:val="nil"/>
              <w:bottom w:val="single" w:sz="8" w:space="0" w:color="auto"/>
              <w:right w:val="single" w:sz="8" w:space="0" w:color="auto"/>
            </w:tcBorders>
            <w:shd w:val="clear" w:color="auto" w:fill="auto"/>
            <w:vAlign w:val="center"/>
            <w:hideMark/>
          </w:tcPr>
          <w:p w14:paraId="6DE4FF3F"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2.697.686</w:t>
            </w:r>
          </w:p>
        </w:tc>
      </w:tr>
      <w:tr w:rsidR="00F31529" w:rsidRPr="00D61A1D" w14:paraId="441A8DD8" w14:textId="77777777" w:rsidTr="00F31529">
        <w:trPr>
          <w:trHeight w:val="30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C39EF9C" w14:textId="77777777" w:rsidR="00F31529" w:rsidRPr="00D61A1D" w:rsidRDefault="00F31529" w:rsidP="00F31529">
            <w:pPr>
              <w:rPr>
                <w:rFonts w:ascii="Verdana" w:hAnsi="Verdana" w:cs="Calibri"/>
                <w:b/>
                <w:bCs/>
                <w:color w:val="000000"/>
                <w:sz w:val="20"/>
                <w:lang w:val="nl-BE" w:eastAsia="nl-BE"/>
              </w:rPr>
            </w:pPr>
            <w:r w:rsidRPr="00D61A1D">
              <w:rPr>
                <w:rFonts w:ascii="Verdana" w:hAnsi="Verdana" w:cs="Calibri"/>
                <w:b/>
                <w:bCs/>
                <w:color w:val="000000"/>
                <w:sz w:val="20"/>
                <w:lang w:eastAsia="nl-BE"/>
              </w:rPr>
              <w:t>DEP</w:t>
            </w:r>
          </w:p>
        </w:tc>
        <w:tc>
          <w:tcPr>
            <w:tcW w:w="1280" w:type="dxa"/>
            <w:tcBorders>
              <w:top w:val="nil"/>
              <w:left w:val="nil"/>
              <w:bottom w:val="single" w:sz="8" w:space="0" w:color="auto"/>
              <w:right w:val="single" w:sz="8" w:space="0" w:color="auto"/>
            </w:tcBorders>
            <w:shd w:val="clear" w:color="auto" w:fill="auto"/>
            <w:vAlign w:val="center"/>
            <w:hideMark/>
          </w:tcPr>
          <w:p w14:paraId="35AA15D4"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1.024.827</w:t>
            </w:r>
          </w:p>
        </w:tc>
        <w:tc>
          <w:tcPr>
            <w:tcW w:w="1280" w:type="dxa"/>
            <w:tcBorders>
              <w:top w:val="nil"/>
              <w:left w:val="nil"/>
              <w:bottom w:val="single" w:sz="8" w:space="0" w:color="auto"/>
              <w:right w:val="single" w:sz="8" w:space="0" w:color="auto"/>
            </w:tcBorders>
            <w:shd w:val="clear" w:color="auto" w:fill="auto"/>
            <w:vAlign w:val="center"/>
            <w:hideMark/>
          </w:tcPr>
          <w:p w14:paraId="59143DE8"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343.138</w:t>
            </w:r>
          </w:p>
        </w:tc>
        <w:tc>
          <w:tcPr>
            <w:tcW w:w="1280" w:type="dxa"/>
            <w:tcBorders>
              <w:top w:val="nil"/>
              <w:left w:val="nil"/>
              <w:bottom w:val="single" w:sz="8" w:space="0" w:color="auto"/>
              <w:right w:val="single" w:sz="8" w:space="0" w:color="auto"/>
            </w:tcBorders>
            <w:shd w:val="clear" w:color="auto" w:fill="auto"/>
            <w:vAlign w:val="center"/>
            <w:hideMark/>
          </w:tcPr>
          <w:p w14:paraId="7897C997"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175.448</w:t>
            </w:r>
          </w:p>
        </w:tc>
        <w:tc>
          <w:tcPr>
            <w:tcW w:w="1280" w:type="dxa"/>
            <w:tcBorders>
              <w:top w:val="nil"/>
              <w:left w:val="nil"/>
              <w:bottom w:val="single" w:sz="8" w:space="0" w:color="auto"/>
              <w:right w:val="single" w:sz="8" w:space="0" w:color="auto"/>
            </w:tcBorders>
            <w:shd w:val="clear" w:color="auto" w:fill="auto"/>
            <w:vAlign w:val="center"/>
            <w:hideMark/>
          </w:tcPr>
          <w:p w14:paraId="721D9DAA"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126.681</w:t>
            </w:r>
          </w:p>
        </w:tc>
        <w:tc>
          <w:tcPr>
            <w:tcW w:w="1280" w:type="dxa"/>
            <w:tcBorders>
              <w:top w:val="nil"/>
              <w:left w:val="nil"/>
              <w:bottom w:val="single" w:sz="8" w:space="0" w:color="auto"/>
              <w:right w:val="single" w:sz="8" w:space="0" w:color="auto"/>
            </w:tcBorders>
            <w:shd w:val="clear" w:color="auto" w:fill="auto"/>
            <w:vAlign w:val="center"/>
            <w:hideMark/>
          </w:tcPr>
          <w:p w14:paraId="75366DAD"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210.648</w:t>
            </w:r>
          </w:p>
        </w:tc>
      </w:tr>
      <w:tr w:rsidR="00F31529" w:rsidRPr="00D61A1D" w14:paraId="37BA7FD5" w14:textId="77777777" w:rsidTr="00F31529">
        <w:trPr>
          <w:trHeight w:val="30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9C06505" w14:textId="77777777" w:rsidR="00F31529" w:rsidRPr="00D61A1D" w:rsidRDefault="00F31529" w:rsidP="00F31529">
            <w:pPr>
              <w:rPr>
                <w:rFonts w:ascii="Verdana" w:hAnsi="Verdana" w:cs="Calibri"/>
                <w:b/>
                <w:bCs/>
                <w:color w:val="000000"/>
                <w:sz w:val="20"/>
                <w:lang w:val="nl-BE" w:eastAsia="nl-BE"/>
              </w:rPr>
            </w:pPr>
            <w:r w:rsidRPr="00D61A1D">
              <w:rPr>
                <w:rFonts w:ascii="Verdana" w:hAnsi="Verdana" w:cs="Calibri"/>
                <w:b/>
                <w:bCs/>
                <w:color w:val="000000"/>
                <w:sz w:val="20"/>
                <w:lang w:eastAsia="nl-BE"/>
              </w:rPr>
              <w:t>MDK</w:t>
            </w:r>
          </w:p>
        </w:tc>
        <w:tc>
          <w:tcPr>
            <w:tcW w:w="1280" w:type="dxa"/>
            <w:tcBorders>
              <w:top w:val="nil"/>
              <w:left w:val="nil"/>
              <w:bottom w:val="single" w:sz="8" w:space="0" w:color="auto"/>
              <w:right w:val="single" w:sz="8" w:space="0" w:color="auto"/>
            </w:tcBorders>
            <w:shd w:val="clear" w:color="auto" w:fill="auto"/>
            <w:vAlign w:val="center"/>
            <w:hideMark/>
          </w:tcPr>
          <w:p w14:paraId="74F04A94"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208.534</w:t>
            </w:r>
          </w:p>
        </w:tc>
        <w:tc>
          <w:tcPr>
            <w:tcW w:w="1280" w:type="dxa"/>
            <w:tcBorders>
              <w:top w:val="nil"/>
              <w:left w:val="nil"/>
              <w:bottom w:val="single" w:sz="8" w:space="0" w:color="auto"/>
              <w:right w:val="single" w:sz="8" w:space="0" w:color="auto"/>
            </w:tcBorders>
            <w:shd w:val="clear" w:color="auto" w:fill="auto"/>
            <w:vAlign w:val="center"/>
            <w:hideMark/>
          </w:tcPr>
          <w:p w14:paraId="416A00D5"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230.770</w:t>
            </w:r>
          </w:p>
        </w:tc>
        <w:tc>
          <w:tcPr>
            <w:tcW w:w="1280" w:type="dxa"/>
            <w:tcBorders>
              <w:top w:val="nil"/>
              <w:left w:val="nil"/>
              <w:bottom w:val="single" w:sz="8" w:space="0" w:color="auto"/>
              <w:right w:val="single" w:sz="8" w:space="0" w:color="auto"/>
            </w:tcBorders>
            <w:shd w:val="clear" w:color="auto" w:fill="auto"/>
            <w:vAlign w:val="center"/>
            <w:hideMark/>
          </w:tcPr>
          <w:p w14:paraId="1AAEC8F8"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80.920</w:t>
            </w:r>
          </w:p>
        </w:tc>
        <w:tc>
          <w:tcPr>
            <w:tcW w:w="1280" w:type="dxa"/>
            <w:tcBorders>
              <w:top w:val="nil"/>
              <w:left w:val="nil"/>
              <w:bottom w:val="single" w:sz="8" w:space="0" w:color="auto"/>
              <w:right w:val="single" w:sz="8" w:space="0" w:color="auto"/>
            </w:tcBorders>
            <w:shd w:val="clear" w:color="auto" w:fill="auto"/>
            <w:vAlign w:val="center"/>
            <w:hideMark/>
          </w:tcPr>
          <w:p w14:paraId="3E60808D"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51.363</w:t>
            </w:r>
          </w:p>
        </w:tc>
        <w:tc>
          <w:tcPr>
            <w:tcW w:w="1280" w:type="dxa"/>
            <w:tcBorders>
              <w:top w:val="nil"/>
              <w:left w:val="nil"/>
              <w:bottom w:val="single" w:sz="8" w:space="0" w:color="auto"/>
              <w:right w:val="single" w:sz="8" w:space="0" w:color="auto"/>
            </w:tcBorders>
            <w:shd w:val="clear" w:color="auto" w:fill="auto"/>
            <w:vAlign w:val="center"/>
            <w:hideMark/>
          </w:tcPr>
          <w:p w14:paraId="17306C61"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50.716</w:t>
            </w:r>
          </w:p>
        </w:tc>
      </w:tr>
      <w:tr w:rsidR="00F31529" w:rsidRPr="00D61A1D" w14:paraId="7CCDB91C" w14:textId="77777777" w:rsidTr="00F31529">
        <w:trPr>
          <w:trHeight w:val="30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8C6E9DF" w14:textId="77777777" w:rsidR="00F31529" w:rsidRPr="00D61A1D" w:rsidRDefault="00F31529" w:rsidP="00F31529">
            <w:pPr>
              <w:rPr>
                <w:rFonts w:ascii="Verdana" w:hAnsi="Verdana" w:cs="Calibri"/>
                <w:b/>
                <w:bCs/>
                <w:color w:val="000000"/>
                <w:sz w:val="20"/>
                <w:lang w:val="nl-BE" w:eastAsia="nl-BE"/>
              </w:rPr>
            </w:pPr>
            <w:r w:rsidRPr="00D61A1D">
              <w:rPr>
                <w:rFonts w:ascii="Verdana" w:hAnsi="Verdana" w:cs="Calibri"/>
                <w:b/>
                <w:bCs/>
                <w:color w:val="000000"/>
                <w:sz w:val="20"/>
                <w:lang w:eastAsia="nl-BE"/>
              </w:rPr>
              <w:t>DVW</w:t>
            </w:r>
            <w:r w:rsidRPr="00D61A1D">
              <w:rPr>
                <w:rFonts w:ascii="Verdana" w:hAnsi="Verdana" w:cs="Calibri"/>
                <w:color w:val="000000"/>
                <w:sz w:val="20"/>
                <w:lang w:eastAsia="nl-BE"/>
              </w:rPr>
              <w:t> </w:t>
            </w:r>
          </w:p>
        </w:tc>
        <w:tc>
          <w:tcPr>
            <w:tcW w:w="1280" w:type="dxa"/>
            <w:tcBorders>
              <w:top w:val="nil"/>
              <w:left w:val="nil"/>
              <w:bottom w:val="single" w:sz="8" w:space="0" w:color="auto"/>
              <w:right w:val="single" w:sz="8" w:space="0" w:color="auto"/>
            </w:tcBorders>
            <w:shd w:val="clear" w:color="auto" w:fill="auto"/>
            <w:vAlign w:val="center"/>
            <w:hideMark/>
          </w:tcPr>
          <w:p w14:paraId="5206BB2B"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182.984</w:t>
            </w:r>
          </w:p>
        </w:tc>
        <w:tc>
          <w:tcPr>
            <w:tcW w:w="1280" w:type="dxa"/>
            <w:tcBorders>
              <w:top w:val="nil"/>
              <w:left w:val="nil"/>
              <w:bottom w:val="single" w:sz="8" w:space="0" w:color="auto"/>
              <w:right w:val="single" w:sz="8" w:space="0" w:color="auto"/>
            </w:tcBorders>
            <w:shd w:val="clear" w:color="auto" w:fill="auto"/>
            <w:vAlign w:val="center"/>
            <w:hideMark/>
          </w:tcPr>
          <w:p w14:paraId="6747526F"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582.667</w:t>
            </w:r>
          </w:p>
        </w:tc>
        <w:tc>
          <w:tcPr>
            <w:tcW w:w="1280" w:type="dxa"/>
            <w:tcBorders>
              <w:top w:val="nil"/>
              <w:left w:val="nil"/>
              <w:bottom w:val="single" w:sz="8" w:space="0" w:color="auto"/>
              <w:right w:val="single" w:sz="8" w:space="0" w:color="auto"/>
            </w:tcBorders>
            <w:shd w:val="clear" w:color="auto" w:fill="auto"/>
            <w:vAlign w:val="center"/>
            <w:hideMark/>
          </w:tcPr>
          <w:p w14:paraId="36326928"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567.115</w:t>
            </w:r>
          </w:p>
        </w:tc>
        <w:tc>
          <w:tcPr>
            <w:tcW w:w="1280" w:type="dxa"/>
            <w:tcBorders>
              <w:top w:val="nil"/>
              <w:left w:val="nil"/>
              <w:bottom w:val="single" w:sz="8" w:space="0" w:color="auto"/>
              <w:right w:val="single" w:sz="8" w:space="0" w:color="auto"/>
            </w:tcBorders>
            <w:shd w:val="clear" w:color="auto" w:fill="auto"/>
            <w:vAlign w:val="center"/>
            <w:hideMark/>
          </w:tcPr>
          <w:p w14:paraId="46F8EE89"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567.100</w:t>
            </w:r>
          </w:p>
        </w:tc>
        <w:tc>
          <w:tcPr>
            <w:tcW w:w="1280" w:type="dxa"/>
            <w:tcBorders>
              <w:top w:val="nil"/>
              <w:left w:val="nil"/>
              <w:bottom w:val="single" w:sz="8" w:space="0" w:color="auto"/>
              <w:right w:val="single" w:sz="8" w:space="0" w:color="auto"/>
            </w:tcBorders>
            <w:shd w:val="clear" w:color="auto" w:fill="auto"/>
            <w:vAlign w:val="center"/>
            <w:hideMark/>
          </w:tcPr>
          <w:p w14:paraId="56E3D0CA"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549.267</w:t>
            </w:r>
          </w:p>
        </w:tc>
      </w:tr>
      <w:tr w:rsidR="00F31529" w:rsidRPr="00D61A1D" w14:paraId="18E4AB1E" w14:textId="77777777" w:rsidTr="00F31529">
        <w:trPr>
          <w:trHeight w:val="30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B435E4E" w14:textId="77777777" w:rsidR="00F31529" w:rsidRPr="00D61A1D" w:rsidRDefault="00F31529" w:rsidP="00F31529">
            <w:pPr>
              <w:rPr>
                <w:rFonts w:ascii="Verdana" w:hAnsi="Verdana" w:cs="Calibri"/>
                <w:b/>
                <w:bCs/>
                <w:color w:val="000000"/>
                <w:sz w:val="20"/>
                <w:lang w:val="nl-BE" w:eastAsia="nl-BE"/>
              </w:rPr>
            </w:pPr>
            <w:r w:rsidRPr="00D61A1D">
              <w:rPr>
                <w:rFonts w:ascii="Verdana" w:hAnsi="Verdana" w:cs="Calibri"/>
                <w:b/>
                <w:bCs/>
                <w:color w:val="000000"/>
                <w:sz w:val="20"/>
                <w:lang w:eastAsia="nl-BE"/>
              </w:rPr>
              <w:t>Totaal</w:t>
            </w:r>
          </w:p>
        </w:tc>
        <w:tc>
          <w:tcPr>
            <w:tcW w:w="1280" w:type="dxa"/>
            <w:tcBorders>
              <w:top w:val="nil"/>
              <w:left w:val="nil"/>
              <w:bottom w:val="single" w:sz="8" w:space="0" w:color="auto"/>
              <w:right w:val="single" w:sz="8" w:space="0" w:color="auto"/>
            </w:tcBorders>
            <w:shd w:val="clear" w:color="auto" w:fill="auto"/>
            <w:vAlign w:val="center"/>
            <w:hideMark/>
          </w:tcPr>
          <w:p w14:paraId="6285CF58" w14:textId="77777777" w:rsidR="00F31529" w:rsidRPr="00D61A1D" w:rsidRDefault="00F31529" w:rsidP="00F31529">
            <w:pPr>
              <w:jc w:val="right"/>
              <w:rPr>
                <w:rFonts w:ascii="Verdana" w:hAnsi="Verdana" w:cs="Calibri"/>
                <w:b/>
                <w:bCs/>
                <w:color w:val="000000"/>
                <w:sz w:val="20"/>
                <w:lang w:val="nl-BE" w:eastAsia="nl-BE"/>
              </w:rPr>
            </w:pPr>
            <w:r w:rsidRPr="00D61A1D">
              <w:rPr>
                <w:rFonts w:ascii="Verdana" w:hAnsi="Verdana" w:cs="Calibri"/>
                <w:b/>
                <w:bCs/>
                <w:color w:val="000000"/>
                <w:sz w:val="20"/>
                <w:lang w:val="nl-BE" w:eastAsia="nl-BE"/>
              </w:rPr>
              <w:t>5.980.163</w:t>
            </w:r>
          </w:p>
        </w:tc>
        <w:tc>
          <w:tcPr>
            <w:tcW w:w="1280" w:type="dxa"/>
            <w:tcBorders>
              <w:top w:val="nil"/>
              <w:left w:val="nil"/>
              <w:bottom w:val="single" w:sz="8" w:space="0" w:color="auto"/>
              <w:right w:val="single" w:sz="8" w:space="0" w:color="auto"/>
            </w:tcBorders>
            <w:shd w:val="clear" w:color="auto" w:fill="auto"/>
            <w:vAlign w:val="center"/>
            <w:hideMark/>
          </w:tcPr>
          <w:p w14:paraId="42704A4C" w14:textId="77777777" w:rsidR="00F31529" w:rsidRPr="00D61A1D" w:rsidRDefault="00F31529" w:rsidP="00F31529">
            <w:pPr>
              <w:jc w:val="right"/>
              <w:rPr>
                <w:rFonts w:ascii="Verdana" w:hAnsi="Verdana" w:cs="Calibri"/>
                <w:b/>
                <w:bCs/>
                <w:color w:val="000000"/>
                <w:sz w:val="20"/>
                <w:lang w:val="nl-BE" w:eastAsia="nl-BE"/>
              </w:rPr>
            </w:pPr>
            <w:r w:rsidRPr="00D61A1D">
              <w:rPr>
                <w:rFonts w:ascii="Verdana" w:hAnsi="Verdana" w:cs="Calibri"/>
                <w:b/>
                <w:bCs/>
                <w:color w:val="000000"/>
                <w:sz w:val="20"/>
                <w:lang w:val="nl-BE" w:eastAsia="nl-BE"/>
              </w:rPr>
              <w:t>5.932.830</w:t>
            </w:r>
          </w:p>
        </w:tc>
        <w:tc>
          <w:tcPr>
            <w:tcW w:w="1280" w:type="dxa"/>
            <w:tcBorders>
              <w:top w:val="nil"/>
              <w:left w:val="nil"/>
              <w:bottom w:val="single" w:sz="8" w:space="0" w:color="auto"/>
              <w:right w:val="single" w:sz="8" w:space="0" w:color="auto"/>
            </w:tcBorders>
            <w:shd w:val="clear" w:color="auto" w:fill="auto"/>
            <w:vAlign w:val="center"/>
            <w:hideMark/>
          </w:tcPr>
          <w:p w14:paraId="68DF0B97" w14:textId="77777777" w:rsidR="00F31529" w:rsidRPr="00D61A1D" w:rsidRDefault="00F31529" w:rsidP="00F31529">
            <w:pPr>
              <w:jc w:val="right"/>
              <w:rPr>
                <w:rFonts w:ascii="Verdana" w:hAnsi="Verdana" w:cs="Calibri"/>
                <w:b/>
                <w:bCs/>
                <w:color w:val="000000"/>
                <w:sz w:val="20"/>
                <w:lang w:val="nl-BE" w:eastAsia="nl-BE"/>
              </w:rPr>
            </w:pPr>
            <w:r w:rsidRPr="00D61A1D">
              <w:rPr>
                <w:rFonts w:ascii="Verdana" w:hAnsi="Verdana" w:cs="Calibri"/>
                <w:b/>
                <w:bCs/>
                <w:color w:val="000000"/>
                <w:sz w:val="20"/>
                <w:lang w:val="nl-BE" w:eastAsia="nl-BE"/>
              </w:rPr>
              <w:t>3.858.209</w:t>
            </w:r>
          </w:p>
        </w:tc>
        <w:tc>
          <w:tcPr>
            <w:tcW w:w="1280" w:type="dxa"/>
            <w:tcBorders>
              <w:top w:val="nil"/>
              <w:left w:val="nil"/>
              <w:bottom w:val="single" w:sz="8" w:space="0" w:color="auto"/>
              <w:right w:val="single" w:sz="8" w:space="0" w:color="auto"/>
            </w:tcBorders>
            <w:shd w:val="clear" w:color="auto" w:fill="auto"/>
            <w:vAlign w:val="center"/>
            <w:hideMark/>
          </w:tcPr>
          <w:p w14:paraId="4FCC92B8" w14:textId="77777777" w:rsidR="00F31529" w:rsidRPr="00D61A1D" w:rsidRDefault="00F31529" w:rsidP="00F31529">
            <w:pPr>
              <w:jc w:val="right"/>
              <w:rPr>
                <w:rFonts w:ascii="Verdana" w:hAnsi="Verdana" w:cs="Calibri"/>
                <w:b/>
                <w:bCs/>
                <w:color w:val="000000"/>
                <w:sz w:val="20"/>
                <w:lang w:val="nl-BE" w:eastAsia="nl-BE"/>
              </w:rPr>
            </w:pPr>
            <w:r w:rsidRPr="00D61A1D">
              <w:rPr>
                <w:rFonts w:ascii="Verdana" w:hAnsi="Verdana" w:cs="Calibri"/>
                <w:b/>
                <w:bCs/>
                <w:color w:val="000000"/>
                <w:sz w:val="20"/>
                <w:lang w:val="nl-BE" w:eastAsia="nl-BE"/>
              </w:rPr>
              <w:t>3.555.421</w:t>
            </w:r>
          </w:p>
        </w:tc>
        <w:tc>
          <w:tcPr>
            <w:tcW w:w="1280" w:type="dxa"/>
            <w:tcBorders>
              <w:top w:val="nil"/>
              <w:left w:val="nil"/>
              <w:bottom w:val="single" w:sz="8" w:space="0" w:color="auto"/>
              <w:right w:val="single" w:sz="8" w:space="0" w:color="auto"/>
            </w:tcBorders>
            <w:shd w:val="clear" w:color="auto" w:fill="auto"/>
            <w:vAlign w:val="center"/>
            <w:hideMark/>
          </w:tcPr>
          <w:p w14:paraId="76258823" w14:textId="77777777" w:rsidR="00F31529" w:rsidRPr="00D61A1D" w:rsidRDefault="00F31529" w:rsidP="00F31529">
            <w:pPr>
              <w:jc w:val="right"/>
              <w:rPr>
                <w:rFonts w:ascii="Verdana" w:hAnsi="Verdana" w:cs="Calibri"/>
                <w:b/>
                <w:bCs/>
                <w:color w:val="000000"/>
                <w:sz w:val="20"/>
                <w:lang w:val="nl-BE" w:eastAsia="nl-BE"/>
              </w:rPr>
            </w:pPr>
            <w:r w:rsidRPr="00D61A1D">
              <w:rPr>
                <w:rFonts w:ascii="Verdana" w:hAnsi="Verdana" w:cs="Calibri"/>
                <w:b/>
                <w:bCs/>
                <w:color w:val="000000"/>
                <w:sz w:val="20"/>
                <w:lang w:val="nl-BE" w:eastAsia="nl-BE"/>
              </w:rPr>
              <w:t>3.508.317</w:t>
            </w:r>
          </w:p>
        </w:tc>
      </w:tr>
      <w:tr w:rsidR="00F31529" w:rsidRPr="00D61A1D" w14:paraId="768347BB" w14:textId="77777777" w:rsidTr="00F31529">
        <w:trPr>
          <w:trHeight w:val="300"/>
        </w:trPr>
        <w:tc>
          <w:tcPr>
            <w:tcW w:w="960" w:type="dxa"/>
            <w:tcBorders>
              <w:top w:val="nil"/>
              <w:left w:val="nil"/>
              <w:bottom w:val="nil"/>
              <w:right w:val="nil"/>
            </w:tcBorders>
            <w:shd w:val="clear" w:color="auto" w:fill="auto"/>
            <w:noWrap/>
            <w:vAlign w:val="bottom"/>
            <w:hideMark/>
          </w:tcPr>
          <w:p w14:paraId="17854FE1" w14:textId="77777777" w:rsidR="00F31529" w:rsidRPr="00D61A1D" w:rsidRDefault="00F31529" w:rsidP="00F31529">
            <w:pPr>
              <w:jc w:val="right"/>
              <w:rPr>
                <w:rFonts w:ascii="Verdana" w:hAnsi="Verdana" w:cs="Calibri"/>
                <w:b/>
                <w:bCs/>
                <w:color w:val="000000"/>
                <w:sz w:val="20"/>
                <w:lang w:val="nl-BE" w:eastAsia="nl-BE"/>
              </w:rPr>
            </w:pPr>
          </w:p>
        </w:tc>
        <w:tc>
          <w:tcPr>
            <w:tcW w:w="1280" w:type="dxa"/>
            <w:tcBorders>
              <w:top w:val="nil"/>
              <w:left w:val="nil"/>
              <w:bottom w:val="nil"/>
              <w:right w:val="nil"/>
            </w:tcBorders>
            <w:shd w:val="clear" w:color="auto" w:fill="auto"/>
            <w:noWrap/>
            <w:vAlign w:val="bottom"/>
            <w:hideMark/>
          </w:tcPr>
          <w:p w14:paraId="70562421" w14:textId="77777777" w:rsidR="00F31529" w:rsidRPr="00D61A1D" w:rsidRDefault="00F31529" w:rsidP="00F31529">
            <w:pPr>
              <w:rPr>
                <w:rFonts w:ascii="Verdana" w:hAnsi="Verdana"/>
                <w:sz w:val="20"/>
                <w:lang w:val="nl-BE" w:eastAsia="nl-BE"/>
              </w:rPr>
            </w:pPr>
          </w:p>
        </w:tc>
        <w:tc>
          <w:tcPr>
            <w:tcW w:w="1280" w:type="dxa"/>
            <w:tcBorders>
              <w:top w:val="nil"/>
              <w:left w:val="nil"/>
              <w:bottom w:val="nil"/>
              <w:right w:val="nil"/>
            </w:tcBorders>
            <w:shd w:val="clear" w:color="auto" w:fill="auto"/>
            <w:noWrap/>
            <w:vAlign w:val="bottom"/>
            <w:hideMark/>
          </w:tcPr>
          <w:p w14:paraId="33B50B70" w14:textId="77777777" w:rsidR="00F31529" w:rsidRPr="00D61A1D" w:rsidRDefault="00F31529" w:rsidP="00F31529">
            <w:pPr>
              <w:rPr>
                <w:rFonts w:ascii="Verdana" w:hAnsi="Verdana"/>
                <w:sz w:val="20"/>
                <w:lang w:val="nl-BE" w:eastAsia="nl-BE"/>
              </w:rPr>
            </w:pPr>
          </w:p>
        </w:tc>
        <w:tc>
          <w:tcPr>
            <w:tcW w:w="1280" w:type="dxa"/>
            <w:tcBorders>
              <w:top w:val="nil"/>
              <w:left w:val="nil"/>
              <w:bottom w:val="nil"/>
              <w:right w:val="nil"/>
            </w:tcBorders>
            <w:shd w:val="clear" w:color="auto" w:fill="auto"/>
            <w:noWrap/>
            <w:vAlign w:val="bottom"/>
            <w:hideMark/>
          </w:tcPr>
          <w:p w14:paraId="43848E7F" w14:textId="77777777" w:rsidR="00F31529" w:rsidRPr="00D61A1D" w:rsidRDefault="00F31529" w:rsidP="00F31529">
            <w:pPr>
              <w:rPr>
                <w:rFonts w:ascii="Verdana" w:hAnsi="Verdana"/>
                <w:sz w:val="20"/>
                <w:lang w:val="nl-BE" w:eastAsia="nl-BE"/>
              </w:rPr>
            </w:pPr>
          </w:p>
        </w:tc>
        <w:tc>
          <w:tcPr>
            <w:tcW w:w="1280" w:type="dxa"/>
            <w:tcBorders>
              <w:top w:val="nil"/>
              <w:left w:val="nil"/>
              <w:bottom w:val="nil"/>
              <w:right w:val="nil"/>
            </w:tcBorders>
            <w:shd w:val="clear" w:color="auto" w:fill="auto"/>
            <w:noWrap/>
            <w:vAlign w:val="bottom"/>
            <w:hideMark/>
          </w:tcPr>
          <w:p w14:paraId="4F5B6A90" w14:textId="77777777" w:rsidR="00F31529" w:rsidRPr="00D61A1D" w:rsidRDefault="00F31529" w:rsidP="00F31529">
            <w:pPr>
              <w:rPr>
                <w:rFonts w:ascii="Verdana" w:hAnsi="Verdana"/>
                <w:sz w:val="20"/>
                <w:lang w:val="nl-BE" w:eastAsia="nl-BE"/>
              </w:rPr>
            </w:pPr>
          </w:p>
        </w:tc>
        <w:tc>
          <w:tcPr>
            <w:tcW w:w="1280" w:type="dxa"/>
            <w:tcBorders>
              <w:top w:val="nil"/>
              <w:left w:val="nil"/>
              <w:bottom w:val="nil"/>
              <w:right w:val="nil"/>
            </w:tcBorders>
            <w:shd w:val="clear" w:color="auto" w:fill="auto"/>
            <w:noWrap/>
            <w:vAlign w:val="bottom"/>
            <w:hideMark/>
          </w:tcPr>
          <w:p w14:paraId="0113FAA5" w14:textId="77777777" w:rsidR="00F31529" w:rsidRPr="00D61A1D" w:rsidRDefault="00F31529" w:rsidP="00F31529">
            <w:pPr>
              <w:rPr>
                <w:rFonts w:ascii="Verdana" w:hAnsi="Verdana"/>
                <w:sz w:val="20"/>
                <w:lang w:val="nl-BE" w:eastAsia="nl-BE"/>
              </w:rPr>
            </w:pPr>
          </w:p>
        </w:tc>
      </w:tr>
      <w:tr w:rsidR="00F31529" w:rsidRPr="00D61A1D" w14:paraId="35950C4A" w14:textId="77777777" w:rsidTr="00F31529">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63CF31" w14:textId="77777777" w:rsidR="00F31529" w:rsidRPr="00D61A1D" w:rsidRDefault="00F31529" w:rsidP="00F31529">
            <w:pPr>
              <w:rPr>
                <w:rFonts w:ascii="Verdana" w:hAnsi="Verdana" w:cs="Calibri"/>
                <w:color w:val="000000"/>
                <w:sz w:val="20"/>
                <w:lang w:val="nl-BE" w:eastAsia="nl-BE"/>
              </w:rPr>
            </w:pPr>
            <w:r w:rsidRPr="00D61A1D">
              <w:rPr>
                <w:rFonts w:ascii="Verdana" w:hAnsi="Verdana" w:cs="Calibri"/>
                <w:color w:val="000000"/>
                <w:sz w:val="20"/>
                <w:lang w:val="nl-BE" w:eastAsia="nl-BE"/>
              </w:rPr>
              <w:t xml:space="preserve"> </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01104C5E" w14:textId="77777777" w:rsidR="00F31529" w:rsidRPr="00D61A1D" w:rsidRDefault="00F31529" w:rsidP="00F31529">
            <w:pPr>
              <w:jc w:val="right"/>
              <w:rPr>
                <w:rFonts w:ascii="Verdana" w:hAnsi="Verdana" w:cs="Calibri"/>
                <w:b/>
                <w:bCs/>
                <w:color w:val="000000"/>
                <w:sz w:val="20"/>
                <w:lang w:val="nl-BE" w:eastAsia="nl-BE"/>
              </w:rPr>
            </w:pPr>
            <w:r w:rsidRPr="00D61A1D">
              <w:rPr>
                <w:rFonts w:ascii="Verdana" w:hAnsi="Verdana" w:cs="Calibri"/>
                <w:b/>
                <w:bCs/>
                <w:color w:val="000000"/>
                <w:sz w:val="20"/>
                <w:lang w:eastAsia="nl-BE"/>
              </w:rPr>
              <w:t>2018</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694E6326" w14:textId="77777777" w:rsidR="00F31529" w:rsidRPr="00D61A1D" w:rsidRDefault="00F31529" w:rsidP="00F31529">
            <w:pPr>
              <w:jc w:val="right"/>
              <w:rPr>
                <w:rFonts w:ascii="Verdana" w:hAnsi="Verdana" w:cs="Calibri"/>
                <w:b/>
                <w:bCs/>
                <w:color w:val="000000"/>
                <w:sz w:val="20"/>
                <w:lang w:val="nl-BE" w:eastAsia="nl-BE"/>
              </w:rPr>
            </w:pPr>
            <w:r w:rsidRPr="00D61A1D">
              <w:rPr>
                <w:rFonts w:ascii="Verdana" w:hAnsi="Verdana" w:cs="Calibri"/>
                <w:b/>
                <w:bCs/>
                <w:color w:val="000000"/>
                <w:sz w:val="20"/>
                <w:lang w:eastAsia="nl-BE"/>
              </w:rPr>
              <w:t>2019</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7F3EA110" w14:textId="77777777" w:rsidR="00F31529" w:rsidRPr="00D61A1D" w:rsidRDefault="00F31529" w:rsidP="00F31529">
            <w:pPr>
              <w:jc w:val="right"/>
              <w:rPr>
                <w:rFonts w:ascii="Verdana" w:hAnsi="Verdana" w:cs="Calibri"/>
                <w:b/>
                <w:bCs/>
                <w:color w:val="000000"/>
                <w:sz w:val="20"/>
                <w:lang w:val="nl-BE" w:eastAsia="nl-BE"/>
              </w:rPr>
            </w:pPr>
            <w:r w:rsidRPr="00D61A1D">
              <w:rPr>
                <w:rFonts w:ascii="Verdana" w:hAnsi="Verdana" w:cs="Calibri"/>
                <w:b/>
                <w:bCs/>
                <w:color w:val="000000"/>
                <w:sz w:val="20"/>
                <w:lang w:eastAsia="nl-BE"/>
              </w:rPr>
              <w:t>2020</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20B5DC93" w14:textId="77777777" w:rsidR="00F31529" w:rsidRPr="00D61A1D" w:rsidRDefault="00F31529" w:rsidP="00F31529">
            <w:pPr>
              <w:jc w:val="right"/>
              <w:rPr>
                <w:rFonts w:ascii="Verdana" w:hAnsi="Verdana" w:cs="Calibri"/>
                <w:b/>
                <w:bCs/>
                <w:color w:val="000000"/>
                <w:sz w:val="20"/>
                <w:lang w:val="nl-BE" w:eastAsia="nl-BE"/>
              </w:rPr>
            </w:pPr>
            <w:r w:rsidRPr="00D61A1D">
              <w:rPr>
                <w:rFonts w:ascii="Verdana" w:hAnsi="Verdana" w:cs="Calibri"/>
                <w:b/>
                <w:bCs/>
                <w:color w:val="000000"/>
                <w:sz w:val="20"/>
                <w:lang w:eastAsia="nl-BE"/>
              </w:rPr>
              <w:t>2021</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7BDBAD52" w14:textId="77777777" w:rsidR="00F31529" w:rsidRPr="00D61A1D" w:rsidRDefault="00F31529" w:rsidP="00F31529">
            <w:pPr>
              <w:jc w:val="right"/>
              <w:rPr>
                <w:rFonts w:ascii="Verdana" w:hAnsi="Verdana" w:cs="Calibri"/>
                <w:b/>
                <w:bCs/>
                <w:color w:val="000000"/>
                <w:sz w:val="20"/>
                <w:lang w:val="nl-BE" w:eastAsia="nl-BE"/>
              </w:rPr>
            </w:pPr>
            <w:r w:rsidRPr="00D61A1D">
              <w:rPr>
                <w:rFonts w:ascii="Verdana" w:hAnsi="Verdana" w:cs="Calibri"/>
                <w:b/>
                <w:bCs/>
                <w:color w:val="000000"/>
                <w:sz w:val="20"/>
                <w:lang w:eastAsia="nl-BE"/>
              </w:rPr>
              <w:t>2022</w:t>
            </w:r>
          </w:p>
        </w:tc>
      </w:tr>
      <w:tr w:rsidR="00F31529" w:rsidRPr="00D61A1D" w14:paraId="1A6AC28B" w14:textId="77777777" w:rsidTr="00F31529">
        <w:trPr>
          <w:trHeight w:val="30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2054322" w14:textId="77777777" w:rsidR="00F31529" w:rsidRPr="00D61A1D" w:rsidRDefault="00F31529" w:rsidP="00F31529">
            <w:pPr>
              <w:rPr>
                <w:rFonts w:ascii="Verdana" w:hAnsi="Verdana" w:cs="Calibri"/>
                <w:b/>
                <w:bCs/>
                <w:color w:val="000000"/>
                <w:sz w:val="20"/>
                <w:lang w:val="nl-BE" w:eastAsia="nl-BE"/>
              </w:rPr>
            </w:pPr>
            <w:r w:rsidRPr="00D61A1D">
              <w:rPr>
                <w:rFonts w:ascii="Verdana" w:hAnsi="Verdana" w:cs="Calibri"/>
                <w:b/>
                <w:bCs/>
                <w:color w:val="000000"/>
                <w:sz w:val="20"/>
                <w:lang w:eastAsia="nl-BE"/>
              </w:rPr>
              <w:t>AWV</w:t>
            </w:r>
          </w:p>
        </w:tc>
        <w:tc>
          <w:tcPr>
            <w:tcW w:w="1280" w:type="dxa"/>
            <w:tcBorders>
              <w:top w:val="nil"/>
              <w:left w:val="nil"/>
              <w:bottom w:val="single" w:sz="8" w:space="0" w:color="auto"/>
              <w:right w:val="single" w:sz="8" w:space="0" w:color="auto"/>
            </w:tcBorders>
            <w:shd w:val="clear" w:color="auto" w:fill="auto"/>
            <w:vAlign w:val="center"/>
            <w:hideMark/>
          </w:tcPr>
          <w:p w14:paraId="0EED3770"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1.524.485</w:t>
            </w:r>
          </w:p>
        </w:tc>
        <w:tc>
          <w:tcPr>
            <w:tcW w:w="1280" w:type="dxa"/>
            <w:tcBorders>
              <w:top w:val="nil"/>
              <w:left w:val="nil"/>
              <w:bottom w:val="single" w:sz="8" w:space="0" w:color="auto"/>
              <w:right w:val="single" w:sz="8" w:space="0" w:color="auto"/>
            </w:tcBorders>
            <w:shd w:val="clear" w:color="auto" w:fill="auto"/>
            <w:vAlign w:val="center"/>
            <w:hideMark/>
          </w:tcPr>
          <w:p w14:paraId="3D746D20"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1.730.064</w:t>
            </w:r>
          </w:p>
        </w:tc>
        <w:tc>
          <w:tcPr>
            <w:tcW w:w="1280" w:type="dxa"/>
            <w:tcBorders>
              <w:top w:val="nil"/>
              <w:left w:val="nil"/>
              <w:bottom w:val="single" w:sz="8" w:space="0" w:color="auto"/>
              <w:right w:val="single" w:sz="8" w:space="0" w:color="auto"/>
            </w:tcBorders>
            <w:shd w:val="clear" w:color="auto" w:fill="auto"/>
            <w:vAlign w:val="center"/>
            <w:hideMark/>
          </w:tcPr>
          <w:p w14:paraId="368B2943"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1.505.980</w:t>
            </w:r>
          </w:p>
        </w:tc>
        <w:tc>
          <w:tcPr>
            <w:tcW w:w="1280" w:type="dxa"/>
            <w:tcBorders>
              <w:top w:val="nil"/>
              <w:left w:val="nil"/>
              <w:bottom w:val="single" w:sz="8" w:space="0" w:color="auto"/>
              <w:right w:val="single" w:sz="8" w:space="0" w:color="auto"/>
            </w:tcBorders>
            <w:shd w:val="clear" w:color="auto" w:fill="auto"/>
            <w:vAlign w:val="center"/>
            <w:hideMark/>
          </w:tcPr>
          <w:p w14:paraId="13BAB181"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423.906</w:t>
            </w:r>
          </w:p>
        </w:tc>
        <w:tc>
          <w:tcPr>
            <w:tcW w:w="1280" w:type="dxa"/>
            <w:tcBorders>
              <w:top w:val="nil"/>
              <w:left w:val="nil"/>
              <w:bottom w:val="single" w:sz="8" w:space="0" w:color="auto"/>
              <w:right w:val="single" w:sz="8" w:space="0" w:color="auto"/>
            </w:tcBorders>
            <w:shd w:val="clear" w:color="auto" w:fill="auto"/>
            <w:vAlign w:val="center"/>
            <w:hideMark/>
          </w:tcPr>
          <w:p w14:paraId="7C38643F"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363.662</w:t>
            </w:r>
          </w:p>
        </w:tc>
      </w:tr>
      <w:tr w:rsidR="00F31529" w:rsidRPr="00D61A1D" w14:paraId="35043A10" w14:textId="77777777" w:rsidTr="00F31529">
        <w:trPr>
          <w:trHeight w:val="30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CB61981" w14:textId="77777777" w:rsidR="00F31529" w:rsidRPr="00D61A1D" w:rsidRDefault="00F31529" w:rsidP="00F31529">
            <w:pPr>
              <w:rPr>
                <w:rFonts w:ascii="Verdana" w:hAnsi="Verdana" w:cs="Calibri"/>
                <w:b/>
                <w:bCs/>
                <w:color w:val="000000"/>
                <w:sz w:val="20"/>
                <w:lang w:val="nl-BE" w:eastAsia="nl-BE"/>
              </w:rPr>
            </w:pPr>
            <w:r w:rsidRPr="00D61A1D">
              <w:rPr>
                <w:rFonts w:ascii="Verdana" w:hAnsi="Verdana" w:cs="Calibri"/>
                <w:b/>
                <w:bCs/>
                <w:color w:val="000000"/>
                <w:sz w:val="20"/>
                <w:lang w:eastAsia="nl-BE"/>
              </w:rPr>
              <w:t>DEP</w:t>
            </w:r>
          </w:p>
        </w:tc>
        <w:tc>
          <w:tcPr>
            <w:tcW w:w="1280" w:type="dxa"/>
            <w:tcBorders>
              <w:top w:val="nil"/>
              <w:left w:val="nil"/>
              <w:bottom w:val="single" w:sz="8" w:space="0" w:color="auto"/>
              <w:right w:val="single" w:sz="8" w:space="0" w:color="auto"/>
            </w:tcBorders>
            <w:shd w:val="clear" w:color="auto" w:fill="auto"/>
            <w:vAlign w:val="center"/>
            <w:hideMark/>
          </w:tcPr>
          <w:p w14:paraId="40FD1685"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27.711</w:t>
            </w:r>
          </w:p>
        </w:tc>
        <w:tc>
          <w:tcPr>
            <w:tcW w:w="1280" w:type="dxa"/>
            <w:tcBorders>
              <w:top w:val="nil"/>
              <w:left w:val="nil"/>
              <w:bottom w:val="single" w:sz="8" w:space="0" w:color="auto"/>
              <w:right w:val="single" w:sz="8" w:space="0" w:color="auto"/>
            </w:tcBorders>
            <w:shd w:val="clear" w:color="auto" w:fill="auto"/>
            <w:vAlign w:val="center"/>
            <w:hideMark/>
          </w:tcPr>
          <w:p w14:paraId="4855D00C"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49.535</w:t>
            </w:r>
          </w:p>
        </w:tc>
        <w:tc>
          <w:tcPr>
            <w:tcW w:w="1280" w:type="dxa"/>
            <w:tcBorders>
              <w:top w:val="nil"/>
              <w:left w:val="nil"/>
              <w:bottom w:val="single" w:sz="8" w:space="0" w:color="auto"/>
              <w:right w:val="single" w:sz="8" w:space="0" w:color="auto"/>
            </w:tcBorders>
            <w:shd w:val="clear" w:color="auto" w:fill="auto"/>
            <w:vAlign w:val="center"/>
            <w:hideMark/>
          </w:tcPr>
          <w:p w14:paraId="1F1B2D22"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33.562</w:t>
            </w:r>
          </w:p>
        </w:tc>
        <w:tc>
          <w:tcPr>
            <w:tcW w:w="1280" w:type="dxa"/>
            <w:tcBorders>
              <w:top w:val="nil"/>
              <w:left w:val="nil"/>
              <w:bottom w:val="single" w:sz="8" w:space="0" w:color="auto"/>
              <w:right w:val="single" w:sz="8" w:space="0" w:color="auto"/>
            </w:tcBorders>
            <w:shd w:val="clear" w:color="auto" w:fill="auto"/>
            <w:vAlign w:val="center"/>
            <w:hideMark/>
          </w:tcPr>
          <w:p w14:paraId="709F43D8"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45.581</w:t>
            </w:r>
          </w:p>
        </w:tc>
        <w:tc>
          <w:tcPr>
            <w:tcW w:w="1280" w:type="dxa"/>
            <w:tcBorders>
              <w:top w:val="nil"/>
              <w:left w:val="nil"/>
              <w:bottom w:val="single" w:sz="8" w:space="0" w:color="auto"/>
              <w:right w:val="single" w:sz="8" w:space="0" w:color="auto"/>
            </w:tcBorders>
            <w:shd w:val="clear" w:color="auto" w:fill="auto"/>
            <w:vAlign w:val="center"/>
            <w:hideMark/>
          </w:tcPr>
          <w:p w14:paraId="28FAB526"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32.628</w:t>
            </w:r>
          </w:p>
        </w:tc>
      </w:tr>
      <w:tr w:rsidR="00F31529" w:rsidRPr="00D61A1D" w14:paraId="15E2B462" w14:textId="77777777" w:rsidTr="00F31529">
        <w:trPr>
          <w:trHeight w:val="30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E3447AF" w14:textId="77777777" w:rsidR="00F31529" w:rsidRPr="00D61A1D" w:rsidRDefault="00F31529" w:rsidP="00F31529">
            <w:pPr>
              <w:rPr>
                <w:rFonts w:ascii="Verdana" w:hAnsi="Verdana" w:cs="Calibri"/>
                <w:b/>
                <w:bCs/>
                <w:color w:val="000000"/>
                <w:sz w:val="20"/>
                <w:lang w:val="nl-BE" w:eastAsia="nl-BE"/>
              </w:rPr>
            </w:pPr>
            <w:r w:rsidRPr="00D61A1D">
              <w:rPr>
                <w:rFonts w:ascii="Verdana" w:hAnsi="Verdana" w:cs="Calibri"/>
                <w:b/>
                <w:bCs/>
                <w:color w:val="000000"/>
                <w:sz w:val="20"/>
                <w:lang w:eastAsia="nl-BE"/>
              </w:rPr>
              <w:t>MDK</w:t>
            </w:r>
          </w:p>
        </w:tc>
        <w:tc>
          <w:tcPr>
            <w:tcW w:w="1280" w:type="dxa"/>
            <w:tcBorders>
              <w:top w:val="nil"/>
              <w:left w:val="nil"/>
              <w:bottom w:val="single" w:sz="8" w:space="0" w:color="auto"/>
              <w:right w:val="single" w:sz="8" w:space="0" w:color="auto"/>
            </w:tcBorders>
            <w:shd w:val="clear" w:color="auto" w:fill="auto"/>
            <w:vAlign w:val="center"/>
            <w:hideMark/>
          </w:tcPr>
          <w:p w14:paraId="36AEF68B"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8.750</w:t>
            </w:r>
          </w:p>
        </w:tc>
        <w:tc>
          <w:tcPr>
            <w:tcW w:w="1280" w:type="dxa"/>
            <w:tcBorders>
              <w:top w:val="nil"/>
              <w:left w:val="nil"/>
              <w:bottom w:val="single" w:sz="8" w:space="0" w:color="auto"/>
              <w:right w:val="single" w:sz="8" w:space="0" w:color="auto"/>
            </w:tcBorders>
            <w:shd w:val="clear" w:color="auto" w:fill="auto"/>
            <w:vAlign w:val="center"/>
            <w:hideMark/>
          </w:tcPr>
          <w:p w14:paraId="7134F09C"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9.544</w:t>
            </w:r>
          </w:p>
        </w:tc>
        <w:tc>
          <w:tcPr>
            <w:tcW w:w="1280" w:type="dxa"/>
            <w:tcBorders>
              <w:top w:val="nil"/>
              <w:left w:val="nil"/>
              <w:bottom w:val="single" w:sz="8" w:space="0" w:color="auto"/>
              <w:right w:val="single" w:sz="8" w:space="0" w:color="auto"/>
            </w:tcBorders>
            <w:shd w:val="clear" w:color="auto" w:fill="auto"/>
            <w:vAlign w:val="center"/>
            <w:hideMark/>
          </w:tcPr>
          <w:p w14:paraId="16FF80C4"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22.475</w:t>
            </w:r>
          </w:p>
        </w:tc>
        <w:tc>
          <w:tcPr>
            <w:tcW w:w="1280" w:type="dxa"/>
            <w:tcBorders>
              <w:top w:val="nil"/>
              <w:left w:val="nil"/>
              <w:bottom w:val="single" w:sz="8" w:space="0" w:color="auto"/>
              <w:right w:val="single" w:sz="8" w:space="0" w:color="auto"/>
            </w:tcBorders>
            <w:shd w:val="clear" w:color="auto" w:fill="auto"/>
            <w:vAlign w:val="center"/>
            <w:hideMark/>
          </w:tcPr>
          <w:p w14:paraId="62FBAEDA"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12.260</w:t>
            </w:r>
          </w:p>
        </w:tc>
        <w:tc>
          <w:tcPr>
            <w:tcW w:w="1280" w:type="dxa"/>
            <w:tcBorders>
              <w:top w:val="nil"/>
              <w:left w:val="nil"/>
              <w:bottom w:val="single" w:sz="8" w:space="0" w:color="auto"/>
              <w:right w:val="single" w:sz="8" w:space="0" w:color="auto"/>
            </w:tcBorders>
            <w:shd w:val="clear" w:color="auto" w:fill="auto"/>
            <w:vAlign w:val="center"/>
            <w:hideMark/>
          </w:tcPr>
          <w:p w14:paraId="6C6FBE41"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14.591</w:t>
            </w:r>
          </w:p>
        </w:tc>
      </w:tr>
      <w:tr w:rsidR="00F31529" w:rsidRPr="00D61A1D" w14:paraId="15EF568C" w14:textId="77777777" w:rsidTr="00F31529">
        <w:trPr>
          <w:trHeight w:val="30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52ED551" w14:textId="77777777" w:rsidR="00F31529" w:rsidRPr="00D61A1D" w:rsidRDefault="00F31529" w:rsidP="00F31529">
            <w:pPr>
              <w:rPr>
                <w:rFonts w:ascii="Verdana" w:hAnsi="Verdana" w:cs="Calibri"/>
                <w:b/>
                <w:bCs/>
                <w:color w:val="000000"/>
                <w:sz w:val="20"/>
                <w:lang w:val="nl-BE" w:eastAsia="nl-BE"/>
              </w:rPr>
            </w:pPr>
            <w:r w:rsidRPr="00D61A1D">
              <w:rPr>
                <w:rFonts w:ascii="Verdana" w:hAnsi="Verdana" w:cs="Calibri"/>
                <w:b/>
                <w:bCs/>
                <w:color w:val="000000"/>
                <w:sz w:val="20"/>
                <w:lang w:eastAsia="nl-BE"/>
              </w:rPr>
              <w:t>DVW</w:t>
            </w:r>
            <w:r w:rsidRPr="00D61A1D">
              <w:rPr>
                <w:rFonts w:ascii="Verdana" w:hAnsi="Verdana" w:cs="Calibri"/>
                <w:color w:val="000000"/>
                <w:sz w:val="20"/>
                <w:lang w:eastAsia="nl-BE"/>
              </w:rPr>
              <w:t> </w:t>
            </w:r>
          </w:p>
        </w:tc>
        <w:tc>
          <w:tcPr>
            <w:tcW w:w="1280" w:type="dxa"/>
            <w:tcBorders>
              <w:top w:val="nil"/>
              <w:left w:val="nil"/>
              <w:bottom w:val="single" w:sz="8" w:space="0" w:color="auto"/>
              <w:right w:val="single" w:sz="8" w:space="0" w:color="auto"/>
            </w:tcBorders>
            <w:shd w:val="clear" w:color="auto" w:fill="auto"/>
            <w:vAlign w:val="center"/>
            <w:hideMark/>
          </w:tcPr>
          <w:p w14:paraId="60BA435D"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17.150</w:t>
            </w:r>
          </w:p>
        </w:tc>
        <w:tc>
          <w:tcPr>
            <w:tcW w:w="1280" w:type="dxa"/>
            <w:tcBorders>
              <w:top w:val="nil"/>
              <w:left w:val="nil"/>
              <w:bottom w:val="single" w:sz="8" w:space="0" w:color="auto"/>
              <w:right w:val="single" w:sz="8" w:space="0" w:color="auto"/>
            </w:tcBorders>
            <w:shd w:val="clear" w:color="auto" w:fill="auto"/>
            <w:vAlign w:val="center"/>
            <w:hideMark/>
          </w:tcPr>
          <w:p w14:paraId="64B736CD"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11.846</w:t>
            </w:r>
          </w:p>
        </w:tc>
        <w:tc>
          <w:tcPr>
            <w:tcW w:w="1280" w:type="dxa"/>
            <w:tcBorders>
              <w:top w:val="nil"/>
              <w:left w:val="nil"/>
              <w:bottom w:val="single" w:sz="8" w:space="0" w:color="auto"/>
              <w:right w:val="single" w:sz="8" w:space="0" w:color="auto"/>
            </w:tcBorders>
            <w:shd w:val="clear" w:color="auto" w:fill="auto"/>
            <w:vAlign w:val="center"/>
            <w:hideMark/>
          </w:tcPr>
          <w:p w14:paraId="63BE4584"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1.114</w:t>
            </w:r>
          </w:p>
        </w:tc>
        <w:tc>
          <w:tcPr>
            <w:tcW w:w="1280" w:type="dxa"/>
            <w:tcBorders>
              <w:top w:val="nil"/>
              <w:left w:val="nil"/>
              <w:bottom w:val="single" w:sz="8" w:space="0" w:color="auto"/>
              <w:right w:val="single" w:sz="8" w:space="0" w:color="auto"/>
            </w:tcBorders>
            <w:shd w:val="clear" w:color="auto" w:fill="auto"/>
            <w:vAlign w:val="center"/>
            <w:hideMark/>
          </w:tcPr>
          <w:p w14:paraId="157DBA23"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3.862</w:t>
            </w:r>
          </w:p>
        </w:tc>
        <w:tc>
          <w:tcPr>
            <w:tcW w:w="1280" w:type="dxa"/>
            <w:tcBorders>
              <w:top w:val="nil"/>
              <w:left w:val="nil"/>
              <w:bottom w:val="single" w:sz="8" w:space="0" w:color="auto"/>
              <w:right w:val="single" w:sz="8" w:space="0" w:color="auto"/>
            </w:tcBorders>
            <w:shd w:val="clear" w:color="auto" w:fill="auto"/>
            <w:vAlign w:val="center"/>
            <w:hideMark/>
          </w:tcPr>
          <w:p w14:paraId="135A9ABF" w14:textId="77777777" w:rsidR="00F31529" w:rsidRPr="00D61A1D" w:rsidRDefault="00F31529" w:rsidP="00F31529">
            <w:pPr>
              <w:jc w:val="right"/>
              <w:rPr>
                <w:rFonts w:ascii="Verdana" w:hAnsi="Verdana" w:cs="Calibri"/>
                <w:color w:val="000000"/>
                <w:sz w:val="20"/>
                <w:lang w:val="nl-BE" w:eastAsia="nl-BE"/>
              </w:rPr>
            </w:pPr>
            <w:r w:rsidRPr="00D61A1D">
              <w:rPr>
                <w:rFonts w:ascii="Verdana" w:hAnsi="Verdana" w:cs="Calibri"/>
                <w:color w:val="000000"/>
                <w:sz w:val="20"/>
                <w:lang w:eastAsia="nl-BE"/>
              </w:rPr>
              <w:t>1.411</w:t>
            </w:r>
          </w:p>
        </w:tc>
      </w:tr>
      <w:tr w:rsidR="00F31529" w:rsidRPr="00D61A1D" w14:paraId="02C47064" w14:textId="77777777" w:rsidTr="00F31529">
        <w:trPr>
          <w:trHeight w:val="30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9D80570" w14:textId="77777777" w:rsidR="00F31529" w:rsidRPr="00D61A1D" w:rsidRDefault="00F31529" w:rsidP="00F31529">
            <w:pPr>
              <w:rPr>
                <w:rFonts w:ascii="Verdana" w:hAnsi="Verdana" w:cs="Calibri"/>
                <w:b/>
                <w:bCs/>
                <w:color w:val="000000"/>
                <w:sz w:val="20"/>
                <w:lang w:val="nl-BE" w:eastAsia="nl-BE"/>
              </w:rPr>
            </w:pPr>
            <w:r w:rsidRPr="00D61A1D">
              <w:rPr>
                <w:rFonts w:ascii="Verdana" w:hAnsi="Verdana" w:cs="Calibri"/>
                <w:b/>
                <w:bCs/>
                <w:color w:val="000000"/>
                <w:sz w:val="20"/>
                <w:lang w:eastAsia="nl-BE"/>
              </w:rPr>
              <w:t>Totaal</w:t>
            </w:r>
          </w:p>
        </w:tc>
        <w:tc>
          <w:tcPr>
            <w:tcW w:w="1280" w:type="dxa"/>
            <w:tcBorders>
              <w:top w:val="nil"/>
              <w:left w:val="nil"/>
              <w:bottom w:val="single" w:sz="8" w:space="0" w:color="auto"/>
              <w:right w:val="single" w:sz="8" w:space="0" w:color="auto"/>
            </w:tcBorders>
            <w:shd w:val="clear" w:color="auto" w:fill="auto"/>
            <w:vAlign w:val="center"/>
            <w:hideMark/>
          </w:tcPr>
          <w:p w14:paraId="0F556598" w14:textId="77777777" w:rsidR="00F31529" w:rsidRPr="00D61A1D" w:rsidRDefault="00F31529" w:rsidP="00F31529">
            <w:pPr>
              <w:jc w:val="right"/>
              <w:rPr>
                <w:rFonts w:ascii="Verdana" w:hAnsi="Verdana" w:cs="Calibri"/>
                <w:b/>
                <w:bCs/>
                <w:color w:val="000000"/>
                <w:sz w:val="20"/>
                <w:lang w:val="nl-BE" w:eastAsia="nl-BE"/>
              </w:rPr>
            </w:pPr>
            <w:r w:rsidRPr="00D61A1D">
              <w:rPr>
                <w:rFonts w:ascii="Verdana" w:hAnsi="Verdana" w:cs="Calibri"/>
                <w:b/>
                <w:bCs/>
                <w:color w:val="000000"/>
                <w:sz w:val="20"/>
                <w:lang w:val="nl-BE" w:eastAsia="nl-BE"/>
              </w:rPr>
              <w:t>1.578.096</w:t>
            </w:r>
          </w:p>
        </w:tc>
        <w:tc>
          <w:tcPr>
            <w:tcW w:w="1280" w:type="dxa"/>
            <w:tcBorders>
              <w:top w:val="nil"/>
              <w:left w:val="nil"/>
              <w:bottom w:val="single" w:sz="8" w:space="0" w:color="auto"/>
              <w:right w:val="single" w:sz="8" w:space="0" w:color="auto"/>
            </w:tcBorders>
            <w:shd w:val="clear" w:color="auto" w:fill="auto"/>
            <w:vAlign w:val="center"/>
            <w:hideMark/>
          </w:tcPr>
          <w:p w14:paraId="5A272BC5" w14:textId="77777777" w:rsidR="00F31529" w:rsidRPr="00D61A1D" w:rsidRDefault="00F31529" w:rsidP="00F31529">
            <w:pPr>
              <w:jc w:val="right"/>
              <w:rPr>
                <w:rFonts w:ascii="Verdana" w:hAnsi="Verdana" w:cs="Calibri"/>
                <w:b/>
                <w:bCs/>
                <w:color w:val="000000"/>
                <w:sz w:val="20"/>
                <w:lang w:val="nl-BE" w:eastAsia="nl-BE"/>
              </w:rPr>
            </w:pPr>
            <w:r w:rsidRPr="00D61A1D">
              <w:rPr>
                <w:rFonts w:ascii="Verdana" w:hAnsi="Verdana" w:cs="Calibri"/>
                <w:b/>
                <w:bCs/>
                <w:color w:val="000000"/>
                <w:sz w:val="20"/>
                <w:lang w:val="nl-BE" w:eastAsia="nl-BE"/>
              </w:rPr>
              <w:t>1.800.989</w:t>
            </w:r>
          </w:p>
        </w:tc>
        <w:tc>
          <w:tcPr>
            <w:tcW w:w="1280" w:type="dxa"/>
            <w:tcBorders>
              <w:top w:val="nil"/>
              <w:left w:val="nil"/>
              <w:bottom w:val="single" w:sz="8" w:space="0" w:color="auto"/>
              <w:right w:val="single" w:sz="8" w:space="0" w:color="auto"/>
            </w:tcBorders>
            <w:shd w:val="clear" w:color="auto" w:fill="auto"/>
            <w:vAlign w:val="center"/>
            <w:hideMark/>
          </w:tcPr>
          <w:p w14:paraId="2BC6FD35" w14:textId="77777777" w:rsidR="00F31529" w:rsidRPr="00D61A1D" w:rsidRDefault="00F31529" w:rsidP="00F31529">
            <w:pPr>
              <w:jc w:val="right"/>
              <w:rPr>
                <w:rFonts w:ascii="Verdana" w:hAnsi="Verdana" w:cs="Calibri"/>
                <w:b/>
                <w:bCs/>
                <w:color w:val="000000"/>
                <w:sz w:val="20"/>
                <w:lang w:val="nl-BE" w:eastAsia="nl-BE"/>
              </w:rPr>
            </w:pPr>
            <w:r w:rsidRPr="00D61A1D">
              <w:rPr>
                <w:rFonts w:ascii="Verdana" w:hAnsi="Verdana" w:cs="Calibri"/>
                <w:b/>
                <w:bCs/>
                <w:color w:val="000000"/>
                <w:sz w:val="20"/>
                <w:lang w:val="nl-BE" w:eastAsia="nl-BE"/>
              </w:rPr>
              <w:t>1.563.131</w:t>
            </w:r>
          </w:p>
        </w:tc>
        <w:tc>
          <w:tcPr>
            <w:tcW w:w="1280" w:type="dxa"/>
            <w:tcBorders>
              <w:top w:val="nil"/>
              <w:left w:val="nil"/>
              <w:bottom w:val="single" w:sz="8" w:space="0" w:color="auto"/>
              <w:right w:val="single" w:sz="8" w:space="0" w:color="auto"/>
            </w:tcBorders>
            <w:shd w:val="clear" w:color="auto" w:fill="auto"/>
            <w:vAlign w:val="center"/>
            <w:hideMark/>
          </w:tcPr>
          <w:p w14:paraId="0BECAF87" w14:textId="77777777" w:rsidR="00F31529" w:rsidRPr="00D61A1D" w:rsidRDefault="00F31529" w:rsidP="00F31529">
            <w:pPr>
              <w:jc w:val="right"/>
              <w:rPr>
                <w:rFonts w:ascii="Verdana" w:hAnsi="Verdana" w:cs="Calibri"/>
                <w:b/>
                <w:bCs/>
                <w:color w:val="000000"/>
                <w:sz w:val="20"/>
                <w:lang w:val="nl-BE" w:eastAsia="nl-BE"/>
              </w:rPr>
            </w:pPr>
            <w:r w:rsidRPr="00D61A1D">
              <w:rPr>
                <w:rFonts w:ascii="Verdana" w:hAnsi="Verdana" w:cs="Calibri"/>
                <w:b/>
                <w:bCs/>
                <w:color w:val="000000"/>
                <w:sz w:val="20"/>
                <w:lang w:val="nl-BE" w:eastAsia="nl-BE"/>
              </w:rPr>
              <w:t>485.609</w:t>
            </w:r>
          </w:p>
        </w:tc>
        <w:tc>
          <w:tcPr>
            <w:tcW w:w="1280" w:type="dxa"/>
            <w:tcBorders>
              <w:top w:val="nil"/>
              <w:left w:val="nil"/>
              <w:bottom w:val="single" w:sz="8" w:space="0" w:color="auto"/>
              <w:right w:val="single" w:sz="8" w:space="0" w:color="auto"/>
            </w:tcBorders>
            <w:shd w:val="clear" w:color="auto" w:fill="auto"/>
            <w:vAlign w:val="center"/>
            <w:hideMark/>
          </w:tcPr>
          <w:p w14:paraId="12167648" w14:textId="77777777" w:rsidR="00F31529" w:rsidRPr="00D61A1D" w:rsidRDefault="00F31529" w:rsidP="00F31529">
            <w:pPr>
              <w:jc w:val="right"/>
              <w:rPr>
                <w:rFonts w:ascii="Verdana" w:hAnsi="Verdana" w:cs="Calibri"/>
                <w:b/>
                <w:bCs/>
                <w:color w:val="000000"/>
                <w:sz w:val="20"/>
                <w:lang w:val="nl-BE" w:eastAsia="nl-BE"/>
              </w:rPr>
            </w:pPr>
            <w:r w:rsidRPr="00D61A1D">
              <w:rPr>
                <w:rFonts w:ascii="Verdana" w:hAnsi="Verdana" w:cs="Calibri"/>
                <w:b/>
                <w:bCs/>
                <w:color w:val="000000"/>
                <w:sz w:val="20"/>
                <w:lang w:val="nl-BE" w:eastAsia="nl-BE"/>
              </w:rPr>
              <w:t>412.292</w:t>
            </w:r>
          </w:p>
        </w:tc>
      </w:tr>
    </w:tbl>
    <w:p w14:paraId="7A5F121B" w14:textId="70616D3D" w:rsidR="001D23AF" w:rsidRPr="00D61A1D" w:rsidRDefault="001D23AF" w:rsidP="009A0FE7">
      <w:pPr>
        <w:jc w:val="both"/>
        <w:rPr>
          <w:rFonts w:ascii="Verdana" w:hAnsi="Verdana" w:cstheme="minorBidi"/>
          <w:sz w:val="20"/>
          <w:lang w:eastAsia="en-US"/>
        </w:rPr>
      </w:pPr>
      <w:r w:rsidRPr="00D61A1D">
        <w:rPr>
          <w:rFonts w:ascii="Verdana" w:eastAsia="Verdana" w:hAnsi="Verdana" w:cs="Verdana"/>
          <w:b/>
          <w:bCs/>
          <w:color w:val="000000" w:themeColor="text1"/>
          <w:sz w:val="20"/>
        </w:rPr>
        <w:t xml:space="preserve"> </w:t>
      </w:r>
    </w:p>
    <w:p w14:paraId="3D1FE258" w14:textId="77777777" w:rsidR="009A0FE7" w:rsidRPr="00D61A1D" w:rsidRDefault="001D23AF" w:rsidP="009A0FE7">
      <w:pPr>
        <w:pStyle w:val="Lijstalinea"/>
        <w:numPr>
          <w:ilvl w:val="0"/>
          <w:numId w:val="46"/>
        </w:numPr>
        <w:spacing w:after="0" w:line="240" w:lineRule="auto"/>
        <w:jc w:val="both"/>
        <w:rPr>
          <w:rFonts w:ascii="Verdana" w:hAnsi="Verdana"/>
          <w:sz w:val="20"/>
          <w:szCs w:val="20"/>
        </w:rPr>
      </w:pPr>
      <w:r w:rsidRPr="00D61A1D">
        <w:rPr>
          <w:rFonts w:ascii="Verdana" w:eastAsia="Verdana" w:hAnsi="Verdana" w:cs="Verdana"/>
          <w:sz w:val="20"/>
          <w:szCs w:val="20"/>
        </w:rPr>
        <w:t>Er werden de afgelopen jaren al heel wat inspanningen gedaan om de verwijlintresten in te perken. Er was de evolutie van de “papieren boekhouding” naar een volledig elektronische factuurcontrole, met de verplichte e-facturatie sedert 1 januari 2017.</w:t>
      </w:r>
    </w:p>
    <w:p w14:paraId="78777B3F" w14:textId="77777777" w:rsidR="009A0FE7" w:rsidRPr="00D61A1D" w:rsidRDefault="009A0FE7" w:rsidP="009A0FE7">
      <w:pPr>
        <w:pStyle w:val="Lijstalinea"/>
        <w:spacing w:after="0" w:line="240" w:lineRule="auto"/>
        <w:ind w:left="360"/>
        <w:jc w:val="both"/>
        <w:rPr>
          <w:rFonts w:ascii="Verdana" w:eastAsia="Verdana" w:hAnsi="Verdana" w:cs="Verdana"/>
          <w:sz w:val="20"/>
          <w:szCs w:val="20"/>
        </w:rPr>
      </w:pPr>
    </w:p>
    <w:p w14:paraId="1F351DE8" w14:textId="77777777" w:rsidR="009A0FE7" w:rsidRPr="00D61A1D" w:rsidRDefault="001D23AF" w:rsidP="009A0FE7">
      <w:pPr>
        <w:pStyle w:val="Lijstalinea"/>
        <w:spacing w:after="0" w:line="240" w:lineRule="auto"/>
        <w:ind w:left="360"/>
        <w:jc w:val="both"/>
        <w:rPr>
          <w:rFonts w:ascii="Verdana" w:eastAsia="Verdana" w:hAnsi="Verdana" w:cs="Verdana"/>
          <w:sz w:val="20"/>
          <w:szCs w:val="20"/>
        </w:rPr>
      </w:pPr>
      <w:r w:rsidRPr="00D61A1D">
        <w:rPr>
          <w:rFonts w:ascii="Verdana" w:eastAsia="Verdana" w:hAnsi="Verdana" w:cs="Verdana"/>
          <w:sz w:val="20"/>
          <w:szCs w:val="20"/>
        </w:rPr>
        <w:t>Er was het dienstorder MOW/MIN/2018/01 met als doel een aantal richtlijnen en instructies op te lijsten om tijdige betalingen te garanderen en verwijlintresten te vermijden. Er werden ook verschillende werkgroepen belast met het uitwerken van gerichte rapportering op het vlak van tijdige betalingen en passende remediëring  en bijsturing waar nodig.</w:t>
      </w:r>
    </w:p>
    <w:p w14:paraId="65117766" w14:textId="77777777" w:rsidR="009A0FE7" w:rsidRPr="00D61A1D" w:rsidRDefault="009A0FE7" w:rsidP="009A0FE7">
      <w:pPr>
        <w:pStyle w:val="Lijstalinea"/>
        <w:spacing w:after="0" w:line="240" w:lineRule="auto"/>
        <w:ind w:left="360"/>
        <w:jc w:val="both"/>
        <w:rPr>
          <w:rFonts w:ascii="Verdana" w:eastAsia="Verdana" w:hAnsi="Verdana" w:cs="Verdana"/>
          <w:sz w:val="20"/>
          <w:szCs w:val="20"/>
        </w:rPr>
      </w:pPr>
    </w:p>
    <w:p w14:paraId="26D8D2B7" w14:textId="329F56E6" w:rsidR="009A0FE7" w:rsidRPr="00D61A1D" w:rsidRDefault="001D23AF" w:rsidP="009A0FE7">
      <w:pPr>
        <w:pStyle w:val="Lijstalinea"/>
        <w:spacing w:after="0" w:line="240" w:lineRule="auto"/>
        <w:ind w:left="360"/>
        <w:jc w:val="both"/>
        <w:rPr>
          <w:rFonts w:ascii="Verdana" w:eastAsia="Verdana" w:hAnsi="Verdana" w:cs="Verdana"/>
          <w:sz w:val="20"/>
          <w:szCs w:val="20"/>
        </w:rPr>
      </w:pPr>
      <w:r w:rsidRPr="00D61A1D">
        <w:rPr>
          <w:rFonts w:ascii="Verdana" w:eastAsia="Verdana" w:hAnsi="Verdana" w:cs="Verdana"/>
          <w:sz w:val="20"/>
          <w:szCs w:val="20"/>
        </w:rPr>
        <w:t>Het beleidsdomein MOW volgt via rapportering op kwartaalbasis (trendanalyse) het verificatie- en betaalproces op. In die rapportering wordt aangegeven bij hoeveel dossiers de verificatie- en/ of betaaltermijn werden overschreden en hoeveel betalingen te laat gebeurden. Via de trendanalyse wordt de gestructureerde aanpak van het verificatie- en betaalproces nauwlettend bewaakt, zodat er geen nieuwe “oude dossiers” bijkomen. En er werd de afgelopen jaren in de verwijlintresten ook een onderscheid ingevoerd al naargelang het recente of oudere dossiers betreft, waarbij men met oudere dossiers wijst op een vervaldag die verder dan een jaar in het verleden ligt</w:t>
      </w:r>
      <w:r w:rsidR="009A0FE7" w:rsidRPr="00D61A1D">
        <w:rPr>
          <w:rFonts w:ascii="Verdana" w:eastAsia="Verdana" w:hAnsi="Verdana" w:cs="Verdana"/>
          <w:sz w:val="20"/>
          <w:szCs w:val="20"/>
        </w:rPr>
        <w:t>.</w:t>
      </w:r>
    </w:p>
    <w:p w14:paraId="25D584D5" w14:textId="77777777" w:rsidR="009A0FE7" w:rsidRPr="00D61A1D" w:rsidRDefault="009A0FE7" w:rsidP="009A0FE7">
      <w:pPr>
        <w:pStyle w:val="Lijstalinea"/>
        <w:spacing w:after="0" w:line="240" w:lineRule="auto"/>
        <w:ind w:left="360"/>
        <w:jc w:val="both"/>
        <w:rPr>
          <w:rFonts w:ascii="Verdana" w:eastAsia="Verdana" w:hAnsi="Verdana" w:cs="Verdana"/>
          <w:sz w:val="20"/>
          <w:szCs w:val="20"/>
        </w:rPr>
      </w:pPr>
    </w:p>
    <w:p w14:paraId="66DF2DCF" w14:textId="46CAAB79" w:rsidR="009A0FE7" w:rsidRPr="00D61A1D" w:rsidRDefault="001D23AF" w:rsidP="009F46B2">
      <w:pPr>
        <w:pStyle w:val="Lijstalinea"/>
        <w:spacing w:after="0" w:line="240" w:lineRule="auto"/>
        <w:ind w:left="360"/>
        <w:jc w:val="both"/>
        <w:rPr>
          <w:rFonts w:ascii="Verdana" w:eastAsia="Verdana" w:hAnsi="Verdana" w:cs="Verdana"/>
          <w:sz w:val="20"/>
          <w:szCs w:val="20"/>
        </w:rPr>
      </w:pPr>
      <w:r w:rsidRPr="00D61A1D">
        <w:rPr>
          <w:rFonts w:ascii="Verdana" w:eastAsia="Verdana" w:hAnsi="Verdana" w:cs="Verdana"/>
          <w:sz w:val="20"/>
          <w:szCs w:val="20"/>
        </w:rPr>
        <w:t xml:space="preserve">Daarnaast werd in 2020 een plan van aanpak uitgewerkt om achterstallige schuldvorderingen zo snel mogelijk weg te werken. Het departement MOW blijft dat plan van aanpak verder coördineren en opvolgen. </w:t>
      </w:r>
    </w:p>
    <w:p w14:paraId="26576807" w14:textId="68211C98" w:rsidR="001D23AF" w:rsidRPr="00D61A1D" w:rsidRDefault="001D23AF" w:rsidP="001002C1">
      <w:pPr>
        <w:pStyle w:val="Lijstalinea"/>
        <w:spacing w:after="0" w:line="240" w:lineRule="auto"/>
        <w:ind w:left="360"/>
        <w:jc w:val="both"/>
        <w:rPr>
          <w:rFonts w:ascii="Verdana" w:hAnsi="Verdana"/>
          <w:sz w:val="20"/>
          <w:szCs w:val="20"/>
        </w:rPr>
      </w:pPr>
      <w:r w:rsidRPr="00D61A1D">
        <w:rPr>
          <w:rFonts w:ascii="Verdana" w:eastAsia="Verdana" w:hAnsi="Verdana" w:cs="Verdana"/>
          <w:sz w:val="20"/>
          <w:szCs w:val="20"/>
        </w:rPr>
        <w:lastRenderedPageBreak/>
        <w:t>Resultaat is dat er nagenoeg geen betaalachterstand meer is en bovendien wordt er door de Vlaamse Overheid versneld betaald aan de leveranciers sedert corona. De rapportering leert ons dat ruim 90% van onze facturen  m.b.t. overheidsopdrachten voor de vervaldag worden betaald.</w:t>
      </w:r>
    </w:p>
    <w:p w14:paraId="023EA77E" w14:textId="77777777" w:rsidR="001D23AF" w:rsidRPr="00D61A1D" w:rsidRDefault="001D23AF" w:rsidP="001002C1">
      <w:pPr>
        <w:jc w:val="both"/>
        <w:rPr>
          <w:rFonts w:ascii="Verdana" w:hAnsi="Verdana"/>
          <w:sz w:val="20"/>
        </w:rPr>
      </w:pPr>
      <w:r w:rsidRPr="00D61A1D">
        <w:rPr>
          <w:rFonts w:ascii="Verdana" w:eastAsia="Verdana" w:hAnsi="Verdana" w:cs="Verdana"/>
          <w:color w:val="000000" w:themeColor="text1"/>
          <w:sz w:val="20"/>
        </w:rPr>
        <w:t xml:space="preserve"> </w:t>
      </w:r>
    </w:p>
    <w:p w14:paraId="4620FEF7" w14:textId="77777777" w:rsidR="009A0FE7" w:rsidRPr="00D61A1D" w:rsidRDefault="001D23AF" w:rsidP="001002C1">
      <w:pPr>
        <w:pStyle w:val="Lijstalinea"/>
        <w:numPr>
          <w:ilvl w:val="0"/>
          <w:numId w:val="46"/>
        </w:numPr>
        <w:spacing w:after="0" w:line="240" w:lineRule="auto"/>
        <w:jc w:val="both"/>
        <w:rPr>
          <w:rFonts w:ascii="Verdana" w:hAnsi="Verdana"/>
          <w:sz w:val="20"/>
          <w:szCs w:val="20"/>
        </w:rPr>
      </w:pPr>
      <w:r w:rsidRPr="00D61A1D">
        <w:rPr>
          <w:rFonts w:ascii="Verdana" w:eastAsia="Verdana" w:hAnsi="Verdana" w:cs="Verdana"/>
          <w:sz w:val="20"/>
          <w:szCs w:val="20"/>
        </w:rPr>
        <w:t>De verwijlintresten inzake overheidsopdrachten, inclusief het percentage, zijn geregeld in artikel 69, §1, het KB van 14 januari 2013 tot bepaling van de algemene uitvoeringsregels van de overheidsopdrachten. Dat artikel luidt als volgt:</w:t>
      </w:r>
    </w:p>
    <w:p w14:paraId="52E84DC7" w14:textId="77777777" w:rsidR="009A0FE7" w:rsidRPr="00D61A1D" w:rsidRDefault="009A0FE7" w:rsidP="001002C1">
      <w:pPr>
        <w:pStyle w:val="Lijstalinea"/>
        <w:spacing w:after="0" w:line="240" w:lineRule="auto"/>
        <w:ind w:left="360"/>
        <w:jc w:val="both"/>
        <w:rPr>
          <w:rFonts w:ascii="Verdana" w:eastAsia="Verdana" w:hAnsi="Verdana" w:cs="Verdana"/>
          <w:sz w:val="20"/>
          <w:szCs w:val="20"/>
        </w:rPr>
      </w:pPr>
    </w:p>
    <w:p w14:paraId="28F762E4" w14:textId="77777777" w:rsidR="001002C1" w:rsidRPr="00D61A1D" w:rsidRDefault="001D23AF" w:rsidP="001002C1">
      <w:pPr>
        <w:pStyle w:val="Lijstalinea"/>
        <w:spacing w:after="0" w:line="240" w:lineRule="auto"/>
        <w:ind w:left="360"/>
        <w:jc w:val="both"/>
        <w:rPr>
          <w:rFonts w:ascii="Verdana" w:eastAsia="Verdana" w:hAnsi="Verdana" w:cs="Verdana"/>
          <w:i/>
          <w:iCs/>
          <w:sz w:val="20"/>
          <w:szCs w:val="20"/>
        </w:rPr>
      </w:pPr>
      <w:r w:rsidRPr="00D61A1D">
        <w:rPr>
          <w:rFonts w:ascii="Verdana" w:eastAsia="Verdana" w:hAnsi="Verdana" w:cs="Verdana"/>
          <w:i/>
          <w:iCs/>
          <w:sz w:val="20"/>
          <w:szCs w:val="20"/>
        </w:rPr>
        <w:t xml:space="preserve">“Wanneer de in artikelen 95, §§ 3 tot 5, 127 en 160 vastgestelde betalingstermijnen worden overschreden, heeft de opdrachtnemer van rechtswege en zonder ingebrekestelling recht op de betaling van een intrest naar rato van het aantal dagen overschrijding. Deze enkelvoudige intrest is hetzij de door de Europese Centrale Bank voor haar meest recente basisherfinancieringstransacties toegepaste intrestvoet, hetzij de marginale intrestvoet die het gevolg is van variabele rentetenders voor de meest recente basisherfinancieringstransacties van de Europese Centrale Bank. </w:t>
      </w:r>
      <w:r w:rsidRPr="00D61A1D">
        <w:rPr>
          <w:rFonts w:ascii="Verdana" w:eastAsia="Verdana" w:hAnsi="Verdana" w:cs="Verdana"/>
          <w:i/>
          <w:iCs/>
          <w:sz w:val="20"/>
          <w:szCs w:val="20"/>
          <w:u w:val="single"/>
        </w:rPr>
        <w:t>De bedoelde intrestvoet wordt vermeerderd met acht procent</w:t>
      </w:r>
      <w:r w:rsidRPr="00D61A1D">
        <w:rPr>
          <w:rFonts w:ascii="Verdana" w:eastAsia="Verdana" w:hAnsi="Verdana" w:cs="Verdana"/>
          <w:i/>
          <w:iCs/>
          <w:sz w:val="20"/>
          <w:szCs w:val="20"/>
        </w:rPr>
        <w:t>.</w:t>
      </w:r>
      <w:r w:rsidR="009A0FE7" w:rsidRPr="00D61A1D">
        <w:rPr>
          <w:rFonts w:ascii="Verdana" w:eastAsia="Verdana" w:hAnsi="Verdana" w:cs="Verdana"/>
          <w:i/>
          <w:iCs/>
          <w:sz w:val="20"/>
          <w:szCs w:val="20"/>
        </w:rPr>
        <w:t xml:space="preserve"> </w:t>
      </w:r>
      <w:r w:rsidRPr="00D61A1D">
        <w:rPr>
          <w:rFonts w:ascii="Verdana" w:eastAsia="Verdana" w:hAnsi="Verdana" w:cs="Verdana"/>
          <w:i/>
          <w:iCs/>
          <w:sz w:val="20"/>
          <w:szCs w:val="20"/>
        </w:rPr>
        <w:t>De minister bevoegd voor Financiën maakt halfjaarlijks de voor ieder semester toepasselijke enkelvoudige intrest bekend in het Belgisch Staatsblad.</w:t>
      </w:r>
      <w:r w:rsidR="001002C1" w:rsidRPr="00D61A1D">
        <w:rPr>
          <w:rFonts w:ascii="Verdana" w:eastAsia="Verdana" w:hAnsi="Verdana" w:cs="Verdana"/>
          <w:i/>
          <w:iCs/>
          <w:sz w:val="20"/>
          <w:szCs w:val="20"/>
        </w:rPr>
        <w:t>”</w:t>
      </w:r>
    </w:p>
    <w:p w14:paraId="5D4CC720" w14:textId="77777777" w:rsidR="001002C1" w:rsidRPr="00D61A1D" w:rsidRDefault="001002C1" w:rsidP="001002C1">
      <w:pPr>
        <w:pStyle w:val="Lijstalinea"/>
        <w:spacing w:after="0" w:line="240" w:lineRule="auto"/>
        <w:ind w:left="360"/>
        <w:jc w:val="both"/>
        <w:rPr>
          <w:rFonts w:ascii="Verdana" w:eastAsia="Verdana" w:hAnsi="Verdana" w:cs="Verdana"/>
          <w:i/>
          <w:iCs/>
          <w:sz w:val="20"/>
          <w:szCs w:val="20"/>
        </w:rPr>
      </w:pPr>
    </w:p>
    <w:p w14:paraId="73ED9E48" w14:textId="77777777" w:rsidR="001002C1" w:rsidRPr="00D61A1D" w:rsidRDefault="001D23AF" w:rsidP="001002C1">
      <w:pPr>
        <w:pStyle w:val="Lijstalinea"/>
        <w:spacing w:after="0" w:line="240" w:lineRule="auto"/>
        <w:ind w:left="360"/>
        <w:jc w:val="both"/>
        <w:rPr>
          <w:rFonts w:ascii="Verdana" w:eastAsia="Verdana" w:hAnsi="Verdana" w:cs="Verdana"/>
          <w:sz w:val="20"/>
          <w:szCs w:val="20"/>
        </w:rPr>
      </w:pPr>
      <w:r w:rsidRPr="00D61A1D">
        <w:rPr>
          <w:rFonts w:ascii="Verdana" w:eastAsia="Verdana" w:hAnsi="Verdana" w:cs="Verdana"/>
          <w:sz w:val="20"/>
          <w:szCs w:val="20"/>
        </w:rPr>
        <w:t xml:space="preserve">Artikel 69, §1 van het KB van 14 januari 2013 vormt een quasi één op één omzetting van de Europese richtlijn 2011/7/EU van het Europees Parlement en de Raad van 16 februari 2011 betreffende bestrijding van betalingsachterstand bij handelstransacties. Artikel 4, eerste lid, van de richtlijn bepaalt dat de lidstaten ervoor zorgen dat schuldeisers bij handelstransacties waarbij de schuldenaar een overheidsinstantie is zonder aanmaning aanspraak kunnen maken op wettelijke intrest voor betalingsachterstand. Het begrip wettelijke intrest voor betalingsachterstand wordt in artikel 2 van dezelfde richtlijn gedefinieerd als de enkelvoudige interest voor betalingsachterstand, overeenkomend met de referentie-interestvoet, </w:t>
      </w:r>
      <w:r w:rsidRPr="00D61A1D">
        <w:rPr>
          <w:rFonts w:ascii="Verdana" w:eastAsia="Verdana" w:hAnsi="Verdana" w:cs="Verdana"/>
          <w:sz w:val="20"/>
          <w:szCs w:val="20"/>
          <w:u w:val="single"/>
        </w:rPr>
        <w:t>vermeerderd met ten minste acht procentpunten</w:t>
      </w:r>
      <w:r w:rsidRPr="00D61A1D">
        <w:rPr>
          <w:rFonts w:ascii="Verdana" w:eastAsia="Verdana" w:hAnsi="Verdana" w:cs="Verdana"/>
          <w:sz w:val="20"/>
          <w:szCs w:val="20"/>
        </w:rPr>
        <w:t xml:space="preserve">. De referentie-intrestvoet wordt (voor lidstaten uit de eurozone) op zijn beurt gedefinieerd als hetzij de door de Europese Centrale Bank voor haar meest recente basisherfinancieringstransacties toegepaste interestvoet, hetzij de marginale interestvoet die het gevolg is van </w:t>
      </w:r>
      <w:proofErr w:type="spellStart"/>
      <w:r w:rsidRPr="00D61A1D">
        <w:rPr>
          <w:rFonts w:ascii="Verdana" w:eastAsia="Verdana" w:hAnsi="Verdana" w:cs="Verdana"/>
          <w:sz w:val="20"/>
          <w:szCs w:val="20"/>
        </w:rPr>
        <w:t>variabelerentetenders</w:t>
      </w:r>
      <w:proofErr w:type="spellEnd"/>
      <w:r w:rsidRPr="00D61A1D">
        <w:rPr>
          <w:rFonts w:ascii="Verdana" w:eastAsia="Verdana" w:hAnsi="Verdana" w:cs="Verdana"/>
          <w:sz w:val="20"/>
          <w:szCs w:val="20"/>
        </w:rPr>
        <w:t xml:space="preserve"> voor de meest recente basisherfinancieringstransacties van de Europese Centrale Bank.</w:t>
      </w:r>
    </w:p>
    <w:p w14:paraId="4E769C3D" w14:textId="77777777" w:rsidR="001002C1" w:rsidRPr="00D61A1D" w:rsidRDefault="001002C1" w:rsidP="001002C1">
      <w:pPr>
        <w:pStyle w:val="Lijstalinea"/>
        <w:spacing w:after="0" w:line="240" w:lineRule="auto"/>
        <w:ind w:left="360"/>
        <w:jc w:val="both"/>
        <w:rPr>
          <w:rFonts w:ascii="Verdana" w:eastAsia="Verdana" w:hAnsi="Verdana" w:cs="Verdana"/>
          <w:sz w:val="20"/>
          <w:szCs w:val="20"/>
        </w:rPr>
      </w:pPr>
    </w:p>
    <w:p w14:paraId="45F0871E" w14:textId="77777777" w:rsidR="001002C1" w:rsidRPr="00D61A1D" w:rsidRDefault="001D23AF" w:rsidP="001002C1">
      <w:pPr>
        <w:pStyle w:val="Lijstalinea"/>
        <w:spacing w:after="0" w:line="240" w:lineRule="auto"/>
        <w:ind w:left="360"/>
        <w:jc w:val="both"/>
        <w:rPr>
          <w:rFonts w:ascii="Verdana" w:eastAsia="Verdana" w:hAnsi="Verdana" w:cs="Verdana"/>
          <w:sz w:val="20"/>
          <w:szCs w:val="20"/>
        </w:rPr>
      </w:pPr>
      <w:r w:rsidRPr="00D61A1D">
        <w:rPr>
          <w:rFonts w:ascii="Verdana" w:eastAsia="Verdana" w:hAnsi="Verdana" w:cs="Verdana"/>
          <w:sz w:val="20"/>
          <w:szCs w:val="20"/>
        </w:rPr>
        <w:t>Door de lage intrestvoeten van de Europese Centrale Bank van de afgelopen jaren bedraagt de verwijlintrest inzake overheidsopdrachten sinds 2016 het minimum van 8%.</w:t>
      </w:r>
    </w:p>
    <w:p w14:paraId="39D19DEB" w14:textId="77777777" w:rsidR="001002C1" w:rsidRPr="00D61A1D" w:rsidRDefault="001002C1" w:rsidP="001002C1">
      <w:pPr>
        <w:pStyle w:val="Lijstalinea"/>
        <w:spacing w:after="0" w:line="240" w:lineRule="auto"/>
        <w:ind w:left="360"/>
        <w:jc w:val="both"/>
        <w:rPr>
          <w:rFonts w:ascii="Verdana" w:eastAsia="Verdana" w:hAnsi="Verdana" w:cs="Verdana"/>
          <w:sz w:val="20"/>
          <w:szCs w:val="20"/>
        </w:rPr>
      </w:pPr>
    </w:p>
    <w:p w14:paraId="7794529D" w14:textId="672EDC6B" w:rsidR="001002C1" w:rsidRPr="00D61A1D" w:rsidRDefault="001D23AF" w:rsidP="001002C1">
      <w:pPr>
        <w:pStyle w:val="Lijstalinea"/>
        <w:spacing w:after="0" w:line="240" w:lineRule="auto"/>
        <w:ind w:left="360"/>
        <w:jc w:val="both"/>
        <w:rPr>
          <w:rFonts w:ascii="Verdana" w:eastAsia="Verdana" w:hAnsi="Verdana" w:cs="Verdana"/>
          <w:sz w:val="20"/>
          <w:szCs w:val="20"/>
        </w:rPr>
      </w:pPr>
      <w:r w:rsidRPr="00D61A1D">
        <w:rPr>
          <w:rFonts w:ascii="Verdana" w:eastAsia="Verdana" w:hAnsi="Verdana" w:cs="Verdana"/>
          <w:sz w:val="20"/>
          <w:szCs w:val="20"/>
        </w:rPr>
        <w:t xml:space="preserve">Gelet op de Europese richtlijn 2011/7/EU, het KB van 14 januari 2013 en de Belgische bevoegdheidsverdeling, waarbij de algemene regels inzake overheidsopdrachten onder de exclusieve bevoegdheid van de federale overheid vallen, is de Vlaamse minister van Mobiliteit en Openbare Werken, noch de Vlaamse overheid bevoegd om de verwijlintresten inzake overheidsopdrachten te bepalen of te wijzigen. Laat staan dat deze verlaagd kan worden tot 2% of 4%. De verwijlintrest bedraagt immers minimum 8%. </w:t>
      </w:r>
    </w:p>
    <w:p w14:paraId="0BCAE711" w14:textId="77777777" w:rsidR="001002C1" w:rsidRPr="00D61A1D" w:rsidRDefault="001002C1" w:rsidP="001002C1">
      <w:pPr>
        <w:pStyle w:val="Lijstalinea"/>
        <w:spacing w:after="0" w:line="240" w:lineRule="auto"/>
        <w:ind w:left="360"/>
        <w:jc w:val="both"/>
        <w:rPr>
          <w:rFonts w:ascii="Verdana" w:eastAsia="Verdana" w:hAnsi="Verdana" w:cs="Verdana"/>
          <w:sz w:val="20"/>
          <w:szCs w:val="20"/>
        </w:rPr>
      </w:pPr>
    </w:p>
    <w:p w14:paraId="2E825E32" w14:textId="28AEB10D" w:rsidR="00DD500A" w:rsidRPr="00D61A1D" w:rsidRDefault="001D23AF" w:rsidP="001002C1">
      <w:pPr>
        <w:pStyle w:val="Lijstalinea"/>
        <w:spacing w:after="0" w:line="240" w:lineRule="auto"/>
        <w:ind w:left="360"/>
        <w:jc w:val="both"/>
        <w:rPr>
          <w:rFonts w:ascii="Verdana" w:hAnsi="Verdana"/>
          <w:sz w:val="20"/>
          <w:szCs w:val="20"/>
        </w:rPr>
      </w:pPr>
      <w:r w:rsidRPr="00D61A1D">
        <w:rPr>
          <w:rFonts w:ascii="Verdana" w:eastAsia="Verdana" w:hAnsi="Verdana" w:cs="Verdana"/>
          <w:sz w:val="20"/>
          <w:szCs w:val="20"/>
        </w:rPr>
        <w:t>De wettelijke rente valt niet onder het toepassingsgebied van de Europese richtlijn 2011/7/EU. Bijgevolg geldt het minimum van 8% niet voor deze wettelijke rente.</w:t>
      </w:r>
    </w:p>
    <w:sectPr w:rsidR="00DD500A" w:rsidRPr="00D61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299B"/>
    <w:multiLevelType w:val="hybridMultilevel"/>
    <w:tmpl w:val="DE5039B4"/>
    <w:lvl w:ilvl="0" w:tplc="33FCDCC2">
      <w:start w:val="1"/>
      <w:numFmt w:val="decimal"/>
      <w:lvlText w:val="%1."/>
      <w:lvlJc w:val="left"/>
      <w:pPr>
        <w:ind w:left="360" w:hanging="360"/>
      </w:pPr>
      <w:rPr>
        <w:rFonts w:hint="default"/>
        <w:sz w:val="20"/>
        <w:szCs w:val="2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16cid:durableId="168253120">
    <w:abstractNumId w:val="1"/>
  </w:num>
  <w:num w:numId="2" w16cid:durableId="1983583184">
    <w:abstractNumId w:val="1"/>
  </w:num>
  <w:num w:numId="3" w16cid:durableId="1758405358">
    <w:abstractNumId w:val="1"/>
  </w:num>
  <w:num w:numId="4" w16cid:durableId="1033581381">
    <w:abstractNumId w:val="1"/>
  </w:num>
  <w:num w:numId="5" w16cid:durableId="1724518918">
    <w:abstractNumId w:val="1"/>
  </w:num>
  <w:num w:numId="6" w16cid:durableId="1484618361">
    <w:abstractNumId w:val="1"/>
  </w:num>
  <w:num w:numId="7" w16cid:durableId="266037812">
    <w:abstractNumId w:val="1"/>
  </w:num>
  <w:num w:numId="8" w16cid:durableId="1744596325">
    <w:abstractNumId w:val="1"/>
  </w:num>
  <w:num w:numId="9" w16cid:durableId="1798333270">
    <w:abstractNumId w:val="1"/>
  </w:num>
  <w:num w:numId="10" w16cid:durableId="711542171">
    <w:abstractNumId w:val="1"/>
  </w:num>
  <w:num w:numId="11" w16cid:durableId="264660099">
    <w:abstractNumId w:val="1"/>
  </w:num>
  <w:num w:numId="12" w16cid:durableId="753548456">
    <w:abstractNumId w:val="1"/>
  </w:num>
  <w:num w:numId="13" w16cid:durableId="1640184296">
    <w:abstractNumId w:val="1"/>
  </w:num>
  <w:num w:numId="14" w16cid:durableId="1640113771">
    <w:abstractNumId w:val="1"/>
  </w:num>
  <w:num w:numId="15" w16cid:durableId="1201552859">
    <w:abstractNumId w:val="1"/>
  </w:num>
  <w:num w:numId="16" w16cid:durableId="479738547">
    <w:abstractNumId w:val="1"/>
  </w:num>
  <w:num w:numId="17" w16cid:durableId="58791247">
    <w:abstractNumId w:val="1"/>
  </w:num>
  <w:num w:numId="18" w16cid:durableId="1657414119">
    <w:abstractNumId w:val="1"/>
  </w:num>
  <w:num w:numId="19" w16cid:durableId="2128310621">
    <w:abstractNumId w:val="1"/>
  </w:num>
  <w:num w:numId="20" w16cid:durableId="1076777751">
    <w:abstractNumId w:val="1"/>
  </w:num>
  <w:num w:numId="21" w16cid:durableId="302001188">
    <w:abstractNumId w:val="1"/>
  </w:num>
  <w:num w:numId="22" w16cid:durableId="1235969196">
    <w:abstractNumId w:val="1"/>
  </w:num>
  <w:num w:numId="23" w16cid:durableId="685254735">
    <w:abstractNumId w:val="1"/>
  </w:num>
  <w:num w:numId="24" w16cid:durableId="1732074366">
    <w:abstractNumId w:val="1"/>
  </w:num>
  <w:num w:numId="25" w16cid:durableId="1381633574">
    <w:abstractNumId w:val="1"/>
  </w:num>
  <w:num w:numId="26" w16cid:durableId="2117555861">
    <w:abstractNumId w:val="1"/>
  </w:num>
  <w:num w:numId="27" w16cid:durableId="1253975348">
    <w:abstractNumId w:val="1"/>
  </w:num>
  <w:num w:numId="28" w16cid:durableId="802231204">
    <w:abstractNumId w:val="1"/>
  </w:num>
  <w:num w:numId="29" w16cid:durableId="1355303872">
    <w:abstractNumId w:val="1"/>
  </w:num>
  <w:num w:numId="30" w16cid:durableId="412971756">
    <w:abstractNumId w:val="1"/>
  </w:num>
  <w:num w:numId="31" w16cid:durableId="647320264">
    <w:abstractNumId w:val="1"/>
  </w:num>
  <w:num w:numId="32" w16cid:durableId="1240408947">
    <w:abstractNumId w:val="1"/>
  </w:num>
  <w:num w:numId="33" w16cid:durableId="256137200">
    <w:abstractNumId w:val="1"/>
  </w:num>
  <w:num w:numId="34" w16cid:durableId="283004489">
    <w:abstractNumId w:val="1"/>
  </w:num>
  <w:num w:numId="35" w16cid:durableId="1530141675">
    <w:abstractNumId w:val="1"/>
  </w:num>
  <w:num w:numId="36" w16cid:durableId="762382083">
    <w:abstractNumId w:val="1"/>
  </w:num>
  <w:num w:numId="37" w16cid:durableId="1931768456">
    <w:abstractNumId w:val="1"/>
  </w:num>
  <w:num w:numId="38" w16cid:durableId="784618554">
    <w:abstractNumId w:val="1"/>
  </w:num>
  <w:num w:numId="39" w16cid:durableId="1774662741">
    <w:abstractNumId w:val="1"/>
  </w:num>
  <w:num w:numId="40" w16cid:durableId="1564094918">
    <w:abstractNumId w:val="1"/>
  </w:num>
  <w:num w:numId="41" w16cid:durableId="986783224">
    <w:abstractNumId w:val="1"/>
  </w:num>
  <w:num w:numId="42" w16cid:durableId="1268151829">
    <w:abstractNumId w:val="1"/>
  </w:num>
  <w:num w:numId="43" w16cid:durableId="835076138">
    <w:abstractNumId w:val="1"/>
  </w:num>
  <w:num w:numId="44" w16cid:durableId="1889762452">
    <w:abstractNumId w:val="1"/>
  </w:num>
  <w:num w:numId="45" w16cid:durableId="1716462960">
    <w:abstractNumId w:val="1"/>
  </w:num>
  <w:num w:numId="46" w16cid:durableId="47387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1002C1"/>
    <w:rsid w:val="00145145"/>
    <w:rsid w:val="00153C7B"/>
    <w:rsid w:val="001D23AF"/>
    <w:rsid w:val="00214C83"/>
    <w:rsid w:val="002E1869"/>
    <w:rsid w:val="0040373E"/>
    <w:rsid w:val="0044462C"/>
    <w:rsid w:val="004F7FDC"/>
    <w:rsid w:val="00630874"/>
    <w:rsid w:val="007C11F4"/>
    <w:rsid w:val="00821058"/>
    <w:rsid w:val="00862AEA"/>
    <w:rsid w:val="009660DA"/>
    <w:rsid w:val="009A0FE7"/>
    <w:rsid w:val="009F46B2"/>
    <w:rsid w:val="00B63EBD"/>
    <w:rsid w:val="00BF3D84"/>
    <w:rsid w:val="00D61A1D"/>
    <w:rsid w:val="00DC6AE7"/>
    <w:rsid w:val="00DD500A"/>
    <w:rsid w:val="00E93F08"/>
    <w:rsid w:val="00F315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645CB"/>
  <w15:docId w15:val="{241E1977-81ED-4449-AA0E-37824D98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4F7FDC"/>
    <w:rPr>
      <w:sz w:val="16"/>
      <w:szCs w:val="16"/>
    </w:rPr>
  </w:style>
  <w:style w:type="paragraph" w:styleId="Tekstopmerking">
    <w:name w:val="annotation text"/>
    <w:basedOn w:val="Standaard"/>
    <w:link w:val="TekstopmerkingChar"/>
    <w:uiPriority w:val="99"/>
    <w:semiHidden/>
    <w:unhideWhenUsed/>
    <w:rsid w:val="004F7FDC"/>
    <w:rPr>
      <w:sz w:val="20"/>
    </w:rPr>
  </w:style>
  <w:style w:type="character" w:customStyle="1" w:styleId="TekstopmerkingChar">
    <w:name w:val="Tekst opmerking Char"/>
    <w:basedOn w:val="Standaardalinea-lettertype"/>
    <w:link w:val="Tekstopmerking"/>
    <w:uiPriority w:val="99"/>
    <w:semiHidden/>
    <w:rsid w:val="004F7FDC"/>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F7FDC"/>
    <w:rPr>
      <w:b/>
      <w:bCs/>
    </w:rPr>
  </w:style>
  <w:style w:type="character" w:customStyle="1" w:styleId="OnderwerpvanopmerkingChar">
    <w:name w:val="Onderwerp van opmerking Char"/>
    <w:basedOn w:val="TekstopmerkingChar"/>
    <w:link w:val="Onderwerpvanopmerking"/>
    <w:uiPriority w:val="99"/>
    <w:semiHidden/>
    <w:rsid w:val="004F7FDC"/>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777846">
      <w:bodyDiv w:val="1"/>
      <w:marLeft w:val="0"/>
      <w:marRight w:val="0"/>
      <w:marTop w:val="0"/>
      <w:marBottom w:val="0"/>
      <w:divBdr>
        <w:top w:val="none" w:sz="0" w:space="0" w:color="auto"/>
        <w:left w:val="none" w:sz="0" w:space="0" w:color="auto"/>
        <w:bottom w:val="none" w:sz="0" w:space="0" w:color="auto"/>
        <w:right w:val="none" w:sz="0" w:space="0" w:color="auto"/>
      </w:divBdr>
    </w:div>
    <w:div w:id="1641031597">
      <w:bodyDiv w:val="1"/>
      <w:marLeft w:val="0"/>
      <w:marRight w:val="0"/>
      <w:marTop w:val="0"/>
      <w:marBottom w:val="0"/>
      <w:divBdr>
        <w:top w:val="none" w:sz="0" w:space="0" w:color="auto"/>
        <w:left w:val="none" w:sz="0" w:space="0" w:color="auto"/>
        <w:bottom w:val="none" w:sz="0" w:space="0" w:color="auto"/>
        <w:right w:val="none" w:sz="0" w:space="0" w:color="auto"/>
      </w:divBdr>
    </w:div>
    <w:div w:id="1935553798">
      <w:bodyDiv w:val="1"/>
      <w:marLeft w:val="0"/>
      <w:marRight w:val="0"/>
      <w:marTop w:val="0"/>
      <w:marBottom w:val="0"/>
      <w:divBdr>
        <w:top w:val="none" w:sz="0" w:space="0" w:color="auto"/>
        <w:left w:val="none" w:sz="0" w:space="0" w:color="auto"/>
        <w:bottom w:val="none" w:sz="0" w:space="0" w:color="auto"/>
        <w:right w:val="none" w:sz="0" w:space="0" w:color="auto"/>
      </w:divBdr>
    </w:div>
    <w:div w:id="20746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4862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Jasper Verheyden</cp:lastModifiedBy>
  <cp:revision>2</cp:revision>
  <dcterms:created xsi:type="dcterms:W3CDTF">2023-01-30T13:16:00Z</dcterms:created>
  <dcterms:modified xsi:type="dcterms:W3CDTF">2023-01-30T13:16:00Z</dcterms:modified>
</cp:coreProperties>
</file>