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C07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7FB062D" w14:textId="77777777" w:rsidR="00C96513" w:rsidRDefault="00000000" w:rsidP="00E75678"/>
    <w:p w14:paraId="6428B793" w14:textId="265C7D21" w:rsidR="00C96513" w:rsidRPr="00451CDB" w:rsidRDefault="00000000" w:rsidP="00E75678">
      <w:r w:rsidRPr="00451CDB">
        <w:t xml:space="preserve">nr. </w:t>
      </w:r>
      <w:r w:rsidR="000A2CB1">
        <w:t>89</w:t>
      </w:r>
    </w:p>
    <w:p w14:paraId="09176A55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6256EFE1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15 december 2022</w:t>
      </w:r>
    </w:p>
    <w:p w14:paraId="3C3D8300" w14:textId="77777777" w:rsidR="00C96513" w:rsidRPr="008A4109" w:rsidRDefault="00000000" w:rsidP="00E75678">
      <w:pPr>
        <w:pBdr>
          <w:bottom w:val="single" w:sz="4" w:space="1" w:color="auto"/>
        </w:pBdr>
      </w:pPr>
    </w:p>
    <w:p w14:paraId="1ED75EEF" w14:textId="77777777" w:rsidR="00C96513" w:rsidRPr="008A4109" w:rsidRDefault="00000000" w:rsidP="00E75678"/>
    <w:p w14:paraId="4761B8B0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matthias diependaele</w:t>
      </w:r>
    </w:p>
    <w:p w14:paraId="0AF704D1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financiën en begroting, wonen en onroerend erfgoed</w:t>
      </w:r>
    </w:p>
    <w:p w14:paraId="41808757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AD4DE08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5356D968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45DF5867" w14:textId="1B75DDDF" w:rsidR="00C96513" w:rsidRDefault="000A2CB1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V</w:t>
      </w:r>
      <w:r w:rsidR="00000000">
        <w:rPr>
          <w:rFonts w:eastAsia="Calibri"/>
          <w:lang w:val="nl-BE" w:eastAsia="en-US"/>
        </w:rPr>
        <w:t xml:space="preserve">erlaagde </w:t>
      </w:r>
      <w:proofErr w:type="gramStart"/>
      <w:r w:rsidR="00000000">
        <w:rPr>
          <w:rFonts w:eastAsia="Calibri"/>
          <w:lang w:val="nl-BE" w:eastAsia="en-US"/>
        </w:rPr>
        <w:t>registratierechten</w:t>
      </w:r>
      <w:r>
        <w:rPr>
          <w:rFonts w:eastAsia="Calibri"/>
          <w:lang w:val="nl-BE" w:eastAsia="en-US"/>
        </w:rPr>
        <w:t xml:space="preserve">  -</w:t>
      </w:r>
      <w:proofErr w:type="gramEnd"/>
      <w:r>
        <w:rPr>
          <w:rFonts w:eastAsia="Calibri"/>
          <w:lang w:val="nl-BE" w:eastAsia="en-US"/>
        </w:rPr>
        <w:t xml:space="preserve">  Geleidelijke uitdoving en afschaffing</w:t>
      </w:r>
    </w:p>
    <w:p w14:paraId="244F374B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AE5803D" w14:textId="71CB53ED" w:rsidR="000B7166" w:rsidRDefault="00000000" w:rsidP="000A2CB1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 xml:space="preserve">Wie een woning heeft en in Vlaanderen een nieuwe woning koopt, heeft recht op verlaagde registratierechten van </w:t>
      </w:r>
      <w:r w:rsidR="000A2CB1">
        <w:rPr>
          <w:rFonts w:eastAsia="Verdana" w:cs="Verdana"/>
        </w:rPr>
        <w:t>3</w:t>
      </w:r>
      <w:r>
        <w:rPr>
          <w:rFonts w:eastAsia="Verdana" w:cs="Verdana"/>
        </w:rPr>
        <w:t xml:space="preserve"> procent, op voorwaarde dat de eerste woning binnen de twee jaar wordt verkocht. Vóór 1 januari 2022 bedroeg de termijn van verkoop slechts één jaar. Omdat dit </w:t>
      </w:r>
      <w:r w:rsidR="000A2CB1">
        <w:rPr>
          <w:rFonts w:eastAsia="Verdana" w:cs="Verdana"/>
        </w:rPr>
        <w:t>‘</w:t>
      </w:r>
      <w:r>
        <w:rPr>
          <w:rFonts w:eastAsia="Verdana" w:cs="Verdana"/>
        </w:rPr>
        <w:t>onredelijk kort</w:t>
      </w:r>
      <w:r w:rsidR="000A2CB1">
        <w:rPr>
          <w:rFonts w:eastAsia="Verdana" w:cs="Verdana"/>
        </w:rPr>
        <w:t>’</w:t>
      </w:r>
      <w:r>
        <w:rPr>
          <w:rFonts w:eastAsia="Verdana" w:cs="Verdana"/>
        </w:rPr>
        <w:t xml:space="preserve"> was werd dit </w:t>
      </w:r>
      <w:proofErr w:type="gramStart"/>
      <w:r>
        <w:rPr>
          <w:rFonts w:eastAsia="Verdana" w:cs="Verdana"/>
        </w:rPr>
        <w:t>naar</w:t>
      </w:r>
      <w:proofErr w:type="gramEnd"/>
      <w:r>
        <w:rPr>
          <w:rFonts w:eastAsia="Verdana" w:cs="Verdana"/>
        </w:rPr>
        <w:t xml:space="preserve"> twee jaar gebracht. Wie dus v</w:t>
      </w:r>
      <w:r w:rsidR="000A2CB1">
        <w:rPr>
          <w:rFonts w:eastAsia="Verdana" w:cs="Verdana"/>
        </w:rPr>
        <w:t>oo</w:t>
      </w:r>
      <w:r>
        <w:rPr>
          <w:rFonts w:eastAsia="Verdana" w:cs="Verdana"/>
        </w:rPr>
        <w:t>r 1 januari 2022 zijn huis niet binnen het jaar verkocht kreeg, moest toch de volle pot aan registratierechten betalen.</w:t>
      </w:r>
    </w:p>
    <w:p w14:paraId="217566EC" w14:textId="07B5D3E8" w:rsidR="000B7166" w:rsidRDefault="00000000" w:rsidP="000A2CB1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>Daarnaast dooft sinds 1 januari 2022 ook de meeneembaarheid van de registratiebelasting geleidelijk</w:t>
      </w:r>
      <w:r w:rsidR="000A2CB1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uit. Vanaf 1 januari 2024 wordt deze volledig afgeschaft. Zij die hun woning niet binnen het jaar verkocht kregen vóór januari 2022, moesten de volle pot aan registratierechten ophoesten </w:t>
      </w:r>
      <w:r w:rsidR="000A2CB1">
        <w:rPr>
          <w:rFonts w:eastAsia="Verdana" w:cs="Verdana"/>
        </w:rPr>
        <w:t>e</w:t>
      </w:r>
      <w:r>
        <w:rPr>
          <w:rFonts w:eastAsia="Verdana" w:cs="Verdana"/>
        </w:rPr>
        <w:t>n konden niet meer genieten van (volledige) meeneembaarheid.</w:t>
      </w:r>
    </w:p>
    <w:p w14:paraId="2A183326" w14:textId="6F234023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Waarom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mensen</w:t>
      </w:r>
      <w:proofErr w:type="spellEnd"/>
      <w:r>
        <w:rPr>
          <w:rFonts w:eastAsia="Verdana"/>
        </w:rPr>
        <w:t xml:space="preserve"> die nog onder de ‘onredelijk korte’ regeling van 1 jaar voor de verkooptermijn van </w:t>
      </w:r>
      <w:proofErr w:type="spellStart"/>
      <w:r>
        <w:rPr>
          <w:rFonts w:eastAsia="Verdana"/>
        </w:rPr>
        <w:t>hun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woning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vielen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terugwerkende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kracht</w:t>
      </w:r>
      <w:proofErr w:type="spellEnd"/>
      <w:r>
        <w:rPr>
          <w:rFonts w:eastAsia="Verdana"/>
        </w:rPr>
        <w:t xml:space="preserve"> </w:t>
      </w:r>
      <w:proofErr w:type="spellStart"/>
      <w:r w:rsidR="000A2CB1">
        <w:rPr>
          <w:rFonts w:eastAsia="Verdana"/>
        </w:rPr>
        <w:t>toegepast</w:t>
      </w:r>
      <w:proofErr w:type="spellEnd"/>
      <w:r>
        <w:rPr>
          <w:rFonts w:eastAsia="Verdana"/>
        </w:rPr>
        <w:t xml:space="preserve"> om </w:t>
      </w:r>
      <w:proofErr w:type="spellStart"/>
      <w:r>
        <w:rPr>
          <w:rFonts w:eastAsia="Verdana"/>
        </w:rPr>
        <w:t>ook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hen de langere termijn van twee jaar toepasbaar te maken?</w:t>
      </w:r>
    </w:p>
    <w:p w14:paraId="7D6F0F0B" w14:textId="1E2F4359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Heeft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zicht</w:t>
      </w:r>
      <w:proofErr w:type="spellEnd"/>
      <w:r>
        <w:rPr>
          <w:rFonts w:eastAsia="Verdana"/>
        </w:rPr>
        <w:t xml:space="preserve"> op het aantal mensen dat ten gevolge van die onredelijk korte termijn het recht op </w:t>
      </w:r>
      <w:proofErr w:type="spellStart"/>
      <w:r>
        <w:rPr>
          <w:rFonts w:eastAsia="Verdana"/>
        </w:rPr>
        <w:t>verlaagde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registratierechten</w:t>
      </w:r>
      <w:proofErr w:type="spellEnd"/>
      <w:r>
        <w:rPr>
          <w:rFonts w:eastAsia="Verdana"/>
        </w:rPr>
        <w:t xml:space="preserve"> </w:t>
      </w:r>
      <w:r w:rsidR="000A2CB1">
        <w:rPr>
          <w:rFonts w:eastAsia="Verdana"/>
        </w:rPr>
        <w:t xml:space="preserve">is </w:t>
      </w:r>
      <w:proofErr w:type="spellStart"/>
      <w:r>
        <w:rPr>
          <w:rFonts w:eastAsia="Verdana"/>
        </w:rPr>
        <w:t>mis</w:t>
      </w:r>
      <w:r w:rsidR="000A2CB1">
        <w:rPr>
          <w:rFonts w:eastAsia="Verdana"/>
        </w:rPr>
        <w:t>ge</w:t>
      </w:r>
      <w:r>
        <w:rPr>
          <w:rFonts w:eastAsia="Verdana"/>
        </w:rPr>
        <w:t>lopen</w:t>
      </w:r>
      <w:proofErr w:type="spellEnd"/>
      <w:r>
        <w:rPr>
          <w:rFonts w:eastAsia="Verdana"/>
        </w:rPr>
        <w:t>?</w:t>
      </w:r>
    </w:p>
    <w:p w14:paraId="28A11BD3" w14:textId="65ED5C28" w:rsidR="000B7166" w:rsidRDefault="00000000" w:rsidP="000A2CB1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Is er </w:t>
      </w:r>
      <w:proofErr w:type="spellStart"/>
      <w:r>
        <w:rPr>
          <w:rFonts w:eastAsia="Verdana"/>
        </w:rPr>
        <w:t>nog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mogelijkheid dat deze mensen een aanpassing krijgen waardoor ook zij onder de termijn van twee jaar vallen?</w:t>
      </w:r>
    </w:p>
    <w:p w14:paraId="47B526D3" w14:textId="4FED7DDF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verkoopaktes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in Vlaanderen opgesteld in 2019, 2020, 2021 en 2022?</w:t>
      </w:r>
    </w:p>
    <w:p w14:paraId="0B9F36D6" w14:textId="4477A164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herverkoopaktes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in Vlaanderen opgesteld in 2019, 2020, 2021 en 2022?</w:t>
      </w:r>
    </w:p>
    <w:p w14:paraId="76075C79" w14:textId="242F3736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verzoekschriften</w:t>
      </w:r>
      <w:proofErr w:type="spellEnd"/>
      <w:r>
        <w:rPr>
          <w:rFonts w:eastAsia="Verdana"/>
        </w:rPr>
        <w:t xml:space="preserve"> tot </w:t>
      </w:r>
      <w:proofErr w:type="spellStart"/>
      <w:r>
        <w:rPr>
          <w:rFonts w:eastAsia="Verdana"/>
        </w:rPr>
        <w:t>teruggave</w:t>
      </w:r>
      <w:proofErr w:type="spellEnd"/>
      <w:r>
        <w:rPr>
          <w:rFonts w:eastAsia="Verdana"/>
        </w:rPr>
        <w:t xml:space="preserve"> van registratierechten werden ingediend in 2019, 2020, 2021 en 2022?</w:t>
      </w:r>
    </w:p>
    <w:p w14:paraId="137378A8" w14:textId="7A991446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registratierechten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uiteindelijk</w:t>
      </w:r>
      <w:proofErr w:type="spellEnd"/>
      <w:r>
        <w:rPr>
          <w:rFonts w:eastAsia="Verdana"/>
        </w:rPr>
        <w:t xml:space="preserve"> terugbetaald in 2019, 2020, 2021 en 2022?</w:t>
      </w:r>
    </w:p>
    <w:p w14:paraId="4FE891AF" w14:textId="78F8FA75" w:rsidR="000B7166" w:rsidRDefault="00000000" w:rsidP="000A2C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verzoekschriften</w:t>
      </w:r>
      <w:proofErr w:type="spellEnd"/>
      <w:r>
        <w:rPr>
          <w:rFonts w:eastAsia="Verdana"/>
        </w:rPr>
        <w:t xml:space="preserve"> tot </w:t>
      </w:r>
      <w:proofErr w:type="spellStart"/>
      <w:r>
        <w:rPr>
          <w:rFonts w:eastAsia="Verdana"/>
        </w:rPr>
        <w:t>teruggave</w:t>
      </w:r>
      <w:proofErr w:type="spellEnd"/>
      <w:r>
        <w:rPr>
          <w:rFonts w:eastAsia="Verdana"/>
        </w:rPr>
        <w:t xml:space="preserve"> van registratierechten werden na indiening onontvankelijk verklaard? Ook hier graag de cijfers per jaar voor de periode 2019-2022.</w:t>
      </w:r>
    </w:p>
    <w:sectPr w:rsidR="000B7166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3848" w14:textId="77777777" w:rsidR="00891F9A" w:rsidRDefault="00891F9A">
      <w:r>
        <w:separator/>
      </w:r>
    </w:p>
  </w:endnote>
  <w:endnote w:type="continuationSeparator" w:id="0">
    <w:p w14:paraId="44A16D4C" w14:textId="77777777" w:rsidR="00891F9A" w:rsidRDefault="008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C4B0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F63908B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7642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187EA077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632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1E5B2" wp14:editId="3D65993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EBA" w14:textId="77777777" w:rsidR="00891F9A" w:rsidRDefault="00891F9A">
      <w:r>
        <w:separator/>
      </w:r>
    </w:p>
  </w:footnote>
  <w:footnote w:type="continuationSeparator" w:id="0">
    <w:p w14:paraId="5F75A4C4" w14:textId="77777777" w:rsidR="00891F9A" w:rsidRDefault="0089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5F3B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592A2E34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1BE45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9C23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1440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A619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7AA8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9CE0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E49A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323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40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44FCD80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36FA73E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05BEB0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4272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122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0A74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F4F1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948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0280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540F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853847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1AF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E0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F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00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A2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45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C9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D730C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BC45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65E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6662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B6F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94B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2637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7062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7206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7714946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C3180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A07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9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63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CE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1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6A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CD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032380">
    <w:abstractNumId w:val="6"/>
  </w:num>
  <w:num w:numId="2" w16cid:durableId="2091930051">
    <w:abstractNumId w:val="4"/>
  </w:num>
  <w:num w:numId="3" w16cid:durableId="371729926">
    <w:abstractNumId w:val="9"/>
  </w:num>
  <w:num w:numId="4" w16cid:durableId="17199117">
    <w:abstractNumId w:val="0"/>
  </w:num>
  <w:num w:numId="5" w16cid:durableId="1995641223">
    <w:abstractNumId w:val="5"/>
  </w:num>
  <w:num w:numId="6" w16cid:durableId="1794982737">
    <w:abstractNumId w:val="8"/>
  </w:num>
  <w:num w:numId="7" w16cid:durableId="1181358834">
    <w:abstractNumId w:val="1"/>
  </w:num>
  <w:num w:numId="8" w16cid:durableId="183634834">
    <w:abstractNumId w:val="2"/>
  </w:num>
  <w:num w:numId="9" w16cid:durableId="333069216">
    <w:abstractNumId w:val="4"/>
  </w:num>
  <w:num w:numId="10" w16cid:durableId="320625146">
    <w:abstractNumId w:val="4"/>
  </w:num>
  <w:num w:numId="11" w16cid:durableId="1746411194">
    <w:abstractNumId w:val="4"/>
  </w:num>
  <w:num w:numId="12" w16cid:durableId="445538333">
    <w:abstractNumId w:val="4"/>
  </w:num>
  <w:num w:numId="13" w16cid:durableId="660306815">
    <w:abstractNumId w:val="7"/>
  </w:num>
  <w:num w:numId="14" w16cid:durableId="145779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66"/>
    <w:rsid w:val="000A2CB1"/>
    <w:rsid w:val="000B7166"/>
    <w:rsid w:val="008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BC256"/>
  <w15:docId w15:val="{73A07B6F-4BC2-41C6-BC02-F773EB28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2022-12-15T12:01:00Z</dcterms:created>
  <dcterms:modified xsi:type="dcterms:W3CDTF">2022-12-15T12:01:00Z</dcterms:modified>
</cp:coreProperties>
</file>