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3A1B" w14:textId="77777777" w:rsidR="00E67886" w:rsidRPr="00515748" w:rsidRDefault="00E67886" w:rsidP="00515748">
      <w:pPr>
        <w:jc w:val="both"/>
        <w:rPr>
          <w:rFonts w:ascii="Verdana" w:hAnsi="Verdana"/>
          <w:sz w:val="20"/>
          <w:szCs w:val="20"/>
          <w:lang w:val="nl-BE"/>
        </w:rPr>
      </w:pPr>
      <w:r w:rsidRPr="00515748">
        <w:rPr>
          <w:rFonts w:ascii="Verdana" w:hAnsi="Verdana"/>
          <w:b/>
          <w:smallCaps/>
          <w:sz w:val="20"/>
          <w:szCs w:val="20"/>
          <w:lang w:val="nl-BE"/>
        </w:rPr>
        <w:t>zuhal demir</w:t>
      </w:r>
    </w:p>
    <w:p w14:paraId="5749EE81" w14:textId="77777777" w:rsidR="00E67886" w:rsidRPr="00515748" w:rsidRDefault="00E67886" w:rsidP="00515748">
      <w:pPr>
        <w:jc w:val="both"/>
        <w:rPr>
          <w:rFonts w:ascii="Verdana" w:hAnsi="Verdana"/>
          <w:smallCaps/>
          <w:sz w:val="20"/>
          <w:szCs w:val="20"/>
          <w:lang w:val="nl-BE"/>
        </w:rPr>
      </w:pPr>
      <w:r w:rsidRPr="00515748">
        <w:rPr>
          <w:rFonts w:ascii="Verdana" w:hAnsi="Verdana"/>
          <w:smallCaps/>
          <w:sz w:val="20"/>
          <w:szCs w:val="20"/>
          <w:lang w:val="nl-BE"/>
        </w:rPr>
        <w:t>vlaams minister van justitie en handhaving, omgeving, energie en toerisme</w:t>
      </w:r>
    </w:p>
    <w:p w14:paraId="4A4FBCC1" w14:textId="77777777" w:rsidR="000976E9" w:rsidRPr="00515748" w:rsidRDefault="000976E9" w:rsidP="00515748">
      <w:pPr>
        <w:jc w:val="both"/>
        <w:rPr>
          <w:rFonts w:ascii="Verdana" w:hAnsi="Verdana"/>
          <w:sz w:val="20"/>
          <w:szCs w:val="20"/>
          <w:lang w:val="nl-BE"/>
        </w:rPr>
      </w:pPr>
    </w:p>
    <w:p w14:paraId="7009158C" w14:textId="77777777" w:rsidR="000976E9" w:rsidRPr="00515748" w:rsidRDefault="000976E9" w:rsidP="00515748">
      <w:pPr>
        <w:pStyle w:val="A-Lijn"/>
        <w:jc w:val="both"/>
        <w:rPr>
          <w:rFonts w:ascii="Verdana" w:hAnsi="Verdana"/>
          <w:sz w:val="20"/>
          <w:szCs w:val="20"/>
        </w:rPr>
      </w:pPr>
    </w:p>
    <w:p w14:paraId="278C891B" w14:textId="77777777" w:rsidR="000976E9" w:rsidRPr="00515748" w:rsidRDefault="000976E9" w:rsidP="00515748">
      <w:pPr>
        <w:pStyle w:val="A-Type"/>
        <w:jc w:val="both"/>
        <w:rPr>
          <w:rFonts w:ascii="Verdana" w:hAnsi="Verdana"/>
          <w:sz w:val="20"/>
          <w:szCs w:val="20"/>
        </w:rPr>
        <w:sectPr w:rsidR="000976E9" w:rsidRPr="005157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5574A45A" w14:textId="77777777" w:rsidR="00210C07" w:rsidRPr="00515748" w:rsidRDefault="000976E9" w:rsidP="00515748">
      <w:pPr>
        <w:pStyle w:val="A-Type"/>
        <w:jc w:val="both"/>
        <w:rPr>
          <w:rFonts w:ascii="Verdana" w:hAnsi="Verdana"/>
          <w:sz w:val="20"/>
          <w:szCs w:val="20"/>
        </w:rPr>
        <w:sectPr w:rsidR="00210C07" w:rsidRPr="00515748" w:rsidSect="000976E9">
          <w:type w:val="continuous"/>
          <w:pgSz w:w="11906" w:h="16838"/>
          <w:pgMar w:top="1417" w:right="1417" w:bottom="1417" w:left="1417" w:header="708" w:footer="708" w:gutter="0"/>
          <w:cols w:space="708"/>
          <w:formProt w:val="0"/>
          <w:docGrid w:linePitch="360"/>
        </w:sectPr>
      </w:pPr>
      <w:r w:rsidRPr="00515748">
        <w:rPr>
          <w:rFonts w:ascii="Verdana" w:hAnsi="Verdana"/>
          <w:sz w:val="20"/>
          <w:szCs w:val="20"/>
        </w:rPr>
        <w:t xml:space="preserve">antwoord </w:t>
      </w:r>
    </w:p>
    <w:p w14:paraId="76D1FED6" w14:textId="539CE2C4" w:rsidR="000976E9" w:rsidRPr="00515748" w:rsidRDefault="000976E9" w:rsidP="00515748">
      <w:pPr>
        <w:pStyle w:val="A-Type"/>
        <w:jc w:val="both"/>
        <w:rPr>
          <w:rFonts w:ascii="Verdana" w:hAnsi="Verdana"/>
          <w:b w:val="0"/>
          <w:smallCaps w:val="0"/>
          <w:sz w:val="20"/>
          <w:szCs w:val="20"/>
        </w:rPr>
      </w:pPr>
      <w:proofErr w:type="gramStart"/>
      <w:r w:rsidRPr="00515748">
        <w:rPr>
          <w:rFonts w:ascii="Verdana" w:hAnsi="Verdana"/>
          <w:b w:val="0"/>
          <w:smallCaps w:val="0"/>
          <w:sz w:val="20"/>
          <w:szCs w:val="20"/>
        </w:rPr>
        <w:t>op</w:t>
      </w:r>
      <w:proofErr w:type="gramEnd"/>
      <w:r w:rsidRPr="00515748">
        <w:rPr>
          <w:rFonts w:ascii="Verdana" w:hAnsi="Verdana"/>
          <w:b w:val="0"/>
          <w:smallCaps w:val="0"/>
          <w:sz w:val="20"/>
          <w:szCs w:val="20"/>
        </w:rPr>
        <w:t xml:space="preserve"> vraag nr.</w:t>
      </w:r>
      <w:r w:rsidRPr="00515748">
        <w:rPr>
          <w:rFonts w:ascii="Verdana" w:hAnsi="Verdana"/>
          <w:b w:val="0"/>
          <w:sz w:val="20"/>
          <w:szCs w:val="20"/>
        </w:rPr>
        <w:t xml:space="preserve"> </w:t>
      </w:r>
      <w:r w:rsidR="001E2440" w:rsidRPr="00515748">
        <w:rPr>
          <w:rFonts w:ascii="Verdana" w:hAnsi="Verdana"/>
          <w:b w:val="0"/>
          <w:sz w:val="20"/>
          <w:szCs w:val="20"/>
        </w:rPr>
        <w:t>411</w:t>
      </w:r>
      <w:r w:rsidRPr="00515748">
        <w:rPr>
          <w:rFonts w:ascii="Verdana" w:hAnsi="Verdana"/>
          <w:b w:val="0"/>
          <w:sz w:val="20"/>
          <w:szCs w:val="20"/>
        </w:rPr>
        <w:t xml:space="preserve"> </w:t>
      </w:r>
      <w:r w:rsidRPr="00515748">
        <w:rPr>
          <w:rFonts w:ascii="Verdana" w:hAnsi="Verdana"/>
          <w:b w:val="0"/>
          <w:smallCaps w:val="0"/>
          <w:sz w:val="20"/>
          <w:szCs w:val="20"/>
        </w:rPr>
        <w:t>van</w:t>
      </w:r>
      <w:r w:rsidRPr="00515748">
        <w:rPr>
          <w:rFonts w:ascii="Verdana" w:hAnsi="Verdana"/>
          <w:b w:val="0"/>
          <w:sz w:val="20"/>
          <w:szCs w:val="20"/>
        </w:rPr>
        <w:t xml:space="preserve"> </w:t>
      </w:r>
      <w:r w:rsidR="001E2440" w:rsidRPr="00515748">
        <w:rPr>
          <w:rFonts w:ascii="Verdana" w:hAnsi="Verdana"/>
          <w:b w:val="0"/>
          <w:sz w:val="20"/>
          <w:szCs w:val="20"/>
        </w:rPr>
        <w:t xml:space="preserve">27 </w:t>
      </w:r>
      <w:r w:rsidR="001E2440" w:rsidRPr="00515748">
        <w:rPr>
          <w:rFonts w:ascii="Verdana" w:hAnsi="Verdana"/>
          <w:b w:val="0"/>
          <w:smallCaps w:val="0"/>
          <w:sz w:val="20"/>
          <w:szCs w:val="20"/>
        </w:rPr>
        <w:t>januari</w:t>
      </w:r>
      <w:r w:rsidR="001E2440" w:rsidRPr="00515748">
        <w:rPr>
          <w:rFonts w:ascii="Verdana" w:hAnsi="Verdana"/>
          <w:b w:val="0"/>
          <w:sz w:val="20"/>
          <w:szCs w:val="20"/>
        </w:rPr>
        <w:t xml:space="preserve"> 2023</w:t>
      </w:r>
    </w:p>
    <w:p w14:paraId="712A5864" w14:textId="317A99F3" w:rsidR="000976E9" w:rsidRPr="00515748" w:rsidRDefault="000976E9" w:rsidP="00515748">
      <w:pPr>
        <w:jc w:val="both"/>
        <w:rPr>
          <w:rFonts w:ascii="Verdana" w:hAnsi="Verdana"/>
          <w:sz w:val="20"/>
          <w:szCs w:val="20"/>
        </w:rPr>
      </w:pPr>
      <w:proofErr w:type="gramStart"/>
      <w:r w:rsidRPr="00515748">
        <w:rPr>
          <w:rFonts w:ascii="Verdana" w:hAnsi="Verdana"/>
          <w:sz w:val="20"/>
          <w:szCs w:val="20"/>
        </w:rPr>
        <w:t>van</w:t>
      </w:r>
      <w:proofErr w:type="gramEnd"/>
      <w:r w:rsidRPr="00515748">
        <w:rPr>
          <w:rFonts w:ascii="Verdana" w:hAnsi="Verdana"/>
          <w:sz w:val="20"/>
          <w:szCs w:val="20"/>
        </w:rPr>
        <w:t xml:space="preserve"> </w:t>
      </w:r>
      <w:proofErr w:type="spellStart"/>
      <w:r w:rsidR="00E761A6" w:rsidRPr="00515748">
        <w:rPr>
          <w:rFonts w:ascii="Verdana" w:hAnsi="Verdana"/>
          <w:b/>
          <w:bCs/>
          <w:smallCaps/>
          <w:sz w:val="20"/>
          <w:szCs w:val="20"/>
        </w:rPr>
        <w:t>m</w:t>
      </w:r>
      <w:r w:rsidR="001E2440" w:rsidRPr="00515748">
        <w:rPr>
          <w:rFonts w:ascii="Verdana" w:hAnsi="Verdana"/>
          <w:b/>
          <w:bCs/>
          <w:smallCaps/>
          <w:sz w:val="20"/>
          <w:szCs w:val="20"/>
        </w:rPr>
        <w:t>ercedes</w:t>
      </w:r>
      <w:proofErr w:type="spellEnd"/>
      <w:r w:rsidR="001E2440" w:rsidRPr="00515748">
        <w:rPr>
          <w:rFonts w:ascii="Verdana" w:hAnsi="Verdana"/>
          <w:b/>
          <w:bCs/>
          <w:smallCaps/>
          <w:sz w:val="20"/>
          <w:szCs w:val="20"/>
        </w:rPr>
        <w:t xml:space="preserve"> </w:t>
      </w:r>
      <w:r w:rsidR="00E761A6" w:rsidRPr="00515748">
        <w:rPr>
          <w:rFonts w:ascii="Verdana" w:hAnsi="Verdana"/>
          <w:b/>
          <w:bCs/>
          <w:smallCaps/>
          <w:sz w:val="20"/>
          <w:szCs w:val="20"/>
        </w:rPr>
        <w:t>v</w:t>
      </w:r>
      <w:r w:rsidR="001E2440" w:rsidRPr="00515748">
        <w:rPr>
          <w:rFonts w:ascii="Verdana" w:hAnsi="Verdana"/>
          <w:b/>
          <w:bCs/>
          <w:smallCaps/>
          <w:sz w:val="20"/>
          <w:szCs w:val="20"/>
        </w:rPr>
        <w:t xml:space="preserve">an </w:t>
      </w:r>
      <w:proofErr w:type="spellStart"/>
      <w:r w:rsidR="00E761A6" w:rsidRPr="00515748">
        <w:rPr>
          <w:rFonts w:ascii="Verdana" w:hAnsi="Verdana"/>
          <w:b/>
          <w:bCs/>
          <w:smallCaps/>
          <w:sz w:val="20"/>
          <w:szCs w:val="20"/>
        </w:rPr>
        <w:t>v</w:t>
      </w:r>
      <w:r w:rsidR="001E2440" w:rsidRPr="00515748">
        <w:rPr>
          <w:rFonts w:ascii="Verdana" w:hAnsi="Verdana"/>
          <w:b/>
          <w:bCs/>
          <w:smallCaps/>
          <w:sz w:val="20"/>
          <w:szCs w:val="20"/>
        </w:rPr>
        <w:t>olcem</w:t>
      </w:r>
      <w:proofErr w:type="spellEnd"/>
    </w:p>
    <w:p w14:paraId="008DEFE4" w14:textId="77777777" w:rsidR="00326A58" w:rsidRPr="00515748" w:rsidRDefault="00326A58" w:rsidP="00515748">
      <w:pPr>
        <w:jc w:val="both"/>
        <w:rPr>
          <w:rFonts w:ascii="Verdana" w:hAnsi="Verdana"/>
          <w:sz w:val="20"/>
          <w:szCs w:val="20"/>
        </w:rPr>
      </w:pPr>
    </w:p>
    <w:p w14:paraId="60389F2B" w14:textId="4770D1EC" w:rsidR="000976E9" w:rsidRPr="00515748" w:rsidRDefault="000976E9" w:rsidP="00515748">
      <w:pPr>
        <w:pStyle w:val="A-Lijn"/>
        <w:jc w:val="both"/>
        <w:rPr>
          <w:rFonts w:ascii="Verdana" w:hAnsi="Verdana"/>
          <w:sz w:val="20"/>
          <w:szCs w:val="20"/>
        </w:rPr>
      </w:pPr>
    </w:p>
    <w:p w14:paraId="1707DA5E" w14:textId="77777777" w:rsidR="001E2440" w:rsidRPr="00515748" w:rsidRDefault="001E2440" w:rsidP="00515748">
      <w:pPr>
        <w:jc w:val="both"/>
        <w:rPr>
          <w:rFonts w:ascii="Verdana" w:hAnsi="Verdana"/>
          <w:sz w:val="20"/>
          <w:szCs w:val="20"/>
          <w:lang w:val="nl-BE"/>
        </w:rPr>
      </w:pPr>
    </w:p>
    <w:p w14:paraId="5DF0DA4A" w14:textId="77777777" w:rsidR="00056D89" w:rsidRPr="00515748" w:rsidRDefault="001C7994" w:rsidP="00515748">
      <w:pPr>
        <w:pStyle w:val="Lijstalinea"/>
        <w:numPr>
          <w:ilvl w:val="0"/>
          <w:numId w:val="19"/>
        </w:numPr>
        <w:ind w:left="360"/>
        <w:jc w:val="both"/>
        <w:rPr>
          <w:rFonts w:ascii="Verdana" w:hAnsi="Verdana"/>
          <w:sz w:val="20"/>
          <w:szCs w:val="20"/>
          <w:lang w:val="nl-BE"/>
        </w:rPr>
      </w:pPr>
      <w:r w:rsidRPr="00515748">
        <w:rPr>
          <w:rFonts w:ascii="Verdana" w:hAnsi="Verdana"/>
          <w:sz w:val="20"/>
          <w:szCs w:val="20"/>
          <w:lang w:val="nl-BE"/>
        </w:rPr>
        <w:t>Op</w:t>
      </w:r>
      <w:r w:rsidR="006A3D64" w:rsidRPr="00515748">
        <w:rPr>
          <w:rFonts w:ascii="Verdana" w:hAnsi="Verdana"/>
          <w:sz w:val="20"/>
          <w:szCs w:val="20"/>
          <w:lang w:val="nl-BE"/>
        </w:rPr>
        <w:t xml:space="preserve"> het </w:t>
      </w:r>
      <w:proofErr w:type="spellStart"/>
      <w:r w:rsidRPr="00515748">
        <w:rPr>
          <w:rFonts w:ascii="Verdana" w:hAnsi="Verdana"/>
          <w:sz w:val="20"/>
          <w:szCs w:val="20"/>
          <w:lang w:val="nl-BE"/>
        </w:rPr>
        <w:t>Geoloket</w:t>
      </w:r>
      <w:proofErr w:type="spellEnd"/>
      <w:r w:rsidRPr="00515748">
        <w:rPr>
          <w:rFonts w:ascii="Verdana" w:hAnsi="Verdana"/>
          <w:sz w:val="20"/>
          <w:szCs w:val="20"/>
          <w:lang w:val="nl-BE"/>
        </w:rPr>
        <w:t xml:space="preserve"> signaalgebieden en de webpagina van de CIW is een volledig overzicht van alle signaalgebieden terug te vinden, zowel op kaart als per bekken: </w:t>
      </w:r>
      <w:hyperlink r:id="rId17" w:history="1">
        <w:r w:rsidRPr="00515748">
          <w:rPr>
            <w:rStyle w:val="Hyperlink"/>
            <w:rFonts w:ascii="Verdana" w:hAnsi="Verdana"/>
            <w:sz w:val="20"/>
            <w:szCs w:val="20"/>
            <w:lang w:val="nl-BE"/>
          </w:rPr>
          <w:t>https://www.integraalwaterbeleid.be/nl/beleidsinstrumenten/signaalgebieden/geoloket-signaalgebieden</w:t>
        </w:r>
      </w:hyperlink>
      <w:r w:rsidRPr="00515748">
        <w:rPr>
          <w:rFonts w:ascii="Verdana" w:hAnsi="Verdana"/>
          <w:sz w:val="20"/>
          <w:szCs w:val="20"/>
          <w:lang w:val="nl-BE"/>
        </w:rPr>
        <w:t>. Voor elk van die signaalgebieden is ook de vervolgfiche gekoppeld aan het gebied.</w:t>
      </w:r>
    </w:p>
    <w:p w14:paraId="5789B844" w14:textId="7BF33227" w:rsidR="00475806" w:rsidRPr="00515748" w:rsidRDefault="00475806" w:rsidP="00515748">
      <w:pPr>
        <w:pStyle w:val="Lijstalinea"/>
        <w:ind w:left="360"/>
        <w:jc w:val="both"/>
        <w:rPr>
          <w:rFonts w:ascii="Verdana" w:hAnsi="Verdana"/>
          <w:sz w:val="20"/>
          <w:szCs w:val="20"/>
          <w:lang w:val="nl-BE"/>
        </w:rPr>
      </w:pPr>
      <w:r w:rsidRPr="00515748">
        <w:rPr>
          <w:rFonts w:ascii="Verdana" w:hAnsi="Verdana"/>
          <w:sz w:val="20"/>
          <w:szCs w:val="20"/>
          <w:lang w:val="nl-BE"/>
        </w:rPr>
        <w:t>De oppervlakte signaalgebied per provincie bedraagt</w:t>
      </w:r>
      <w:r w:rsidR="00056D89" w:rsidRPr="00515748">
        <w:rPr>
          <w:rFonts w:ascii="Verdana" w:hAnsi="Verdana"/>
          <w:sz w:val="20"/>
          <w:szCs w:val="20"/>
          <w:lang w:val="nl-BE"/>
        </w:rPr>
        <w:t>:</w:t>
      </w:r>
    </w:p>
    <w:p w14:paraId="55AD35A5" w14:textId="606DAD75" w:rsidR="00017B39" w:rsidRPr="00515748" w:rsidRDefault="00017B39" w:rsidP="00515748">
      <w:pPr>
        <w:pStyle w:val="Lijstalinea"/>
        <w:numPr>
          <w:ilvl w:val="0"/>
          <w:numId w:val="20"/>
        </w:numPr>
        <w:jc w:val="both"/>
        <w:rPr>
          <w:rFonts w:ascii="Verdana" w:hAnsi="Verdana"/>
          <w:sz w:val="20"/>
          <w:szCs w:val="20"/>
          <w:lang w:val="nl-BE"/>
        </w:rPr>
      </w:pPr>
      <w:r w:rsidRPr="00515748">
        <w:rPr>
          <w:rFonts w:ascii="Verdana" w:hAnsi="Verdana"/>
          <w:sz w:val="20"/>
          <w:szCs w:val="20"/>
          <w:lang w:val="nl-BE"/>
        </w:rPr>
        <w:t>Antwerpen</w:t>
      </w:r>
      <w:r w:rsidR="00056D89" w:rsidRPr="00515748">
        <w:rPr>
          <w:rFonts w:ascii="Verdana" w:hAnsi="Verdana"/>
          <w:sz w:val="20"/>
          <w:szCs w:val="20"/>
          <w:lang w:val="nl-BE"/>
        </w:rPr>
        <w:t>:</w:t>
      </w:r>
      <w:r w:rsidRPr="00515748">
        <w:rPr>
          <w:rFonts w:ascii="Verdana" w:hAnsi="Verdana"/>
          <w:sz w:val="20"/>
          <w:szCs w:val="20"/>
          <w:lang w:val="nl-BE"/>
        </w:rPr>
        <w:t xml:space="preserve"> 1070 ha</w:t>
      </w:r>
    </w:p>
    <w:p w14:paraId="70EFE88F" w14:textId="506B5264" w:rsidR="00017B39" w:rsidRPr="00515748" w:rsidRDefault="00017B39" w:rsidP="00515748">
      <w:pPr>
        <w:pStyle w:val="Lijstalinea"/>
        <w:numPr>
          <w:ilvl w:val="0"/>
          <w:numId w:val="20"/>
        </w:numPr>
        <w:jc w:val="both"/>
        <w:rPr>
          <w:rFonts w:ascii="Verdana" w:hAnsi="Verdana"/>
          <w:sz w:val="20"/>
          <w:szCs w:val="20"/>
          <w:lang w:val="nl-BE"/>
        </w:rPr>
      </w:pPr>
      <w:r w:rsidRPr="00515748">
        <w:rPr>
          <w:rFonts w:ascii="Verdana" w:hAnsi="Verdana"/>
          <w:sz w:val="20"/>
          <w:szCs w:val="20"/>
          <w:lang w:val="nl-BE"/>
        </w:rPr>
        <w:t>Limburg</w:t>
      </w:r>
      <w:r w:rsidR="00056D89" w:rsidRPr="00515748">
        <w:rPr>
          <w:rFonts w:ascii="Verdana" w:hAnsi="Verdana"/>
          <w:sz w:val="20"/>
          <w:szCs w:val="20"/>
          <w:lang w:val="nl-BE"/>
        </w:rPr>
        <w:t>:</w:t>
      </w:r>
      <w:r w:rsidRPr="00515748">
        <w:rPr>
          <w:rFonts w:ascii="Verdana" w:hAnsi="Verdana"/>
          <w:sz w:val="20"/>
          <w:szCs w:val="20"/>
          <w:lang w:val="nl-BE"/>
        </w:rPr>
        <w:t xml:space="preserve"> 591 ha</w:t>
      </w:r>
    </w:p>
    <w:p w14:paraId="3EB9AC30" w14:textId="5AF6DB9E" w:rsidR="00017B39" w:rsidRPr="00515748" w:rsidRDefault="00017B39" w:rsidP="00515748">
      <w:pPr>
        <w:pStyle w:val="Lijstalinea"/>
        <w:numPr>
          <w:ilvl w:val="0"/>
          <w:numId w:val="20"/>
        </w:numPr>
        <w:jc w:val="both"/>
        <w:rPr>
          <w:rFonts w:ascii="Verdana" w:hAnsi="Verdana"/>
          <w:sz w:val="20"/>
          <w:szCs w:val="20"/>
          <w:lang w:val="nl-BE"/>
        </w:rPr>
      </w:pPr>
      <w:r w:rsidRPr="00515748">
        <w:rPr>
          <w:rFonts w:ascii="Verdana" w:hAnsi="Verdana"/>
          <w:sz w:val="20"/>
          <w:szCs w:val="20"/>
          <w:lang w:val="nl-BE"/>
        </w:rPr>
        <w:t>Oost-Vlaanderen</w:t>
      </w:r>
      <w:r w:rsidR="00056D89" w:rsidRPr="00515748">
        <w:rPr>
          <w:rFonts w:ascii="Verdana" w:hAnsi="Verdana"/>
          <w:sz w:val="20"/>
          <w:szCs w:val="20"/>
          <w:lang w:val="nl-BE"/>
        </w:rPr>
        <w:t>:</w:t>
      </w:r>
      <w:r w:rsidRPr="00515748">
        <w:rPr>
          <w:rFonts w:ascii="Verdana" w:hAnsi="Verdana"/>
          <w:sz w:val="20"/>
          <w:szCs w:val="20"/>
          <w:lang w:val="nl-BE"/>
        </w:rPr>
        <w:t xml:space="preserve"> 1068 ha</w:t>
      </w:r>
    </w:p>
    <w:p w14:paraId="740F7930" w14:textId="6594BCA4" w:rsidR="00017B39" w:rsidRPr="00515748" w:rsidRDefault="00017B39" w:rsidP="00515748">
      <w:pPr>
        <w:pStyle w:val="Lijstalinea"/>
        <w:numPr>
          <w:ilvl w:val="0"/>
          <w:numId w:val="20"/>
        </w:numPr>
        <w:jc w:val="both"/>
        <w:rPr>
          <w:rFonts w:ascii="Verdana" w:hAnsi="Verdana"/>
          <w:sz w:val="20"/>
          <w:szCs w:val="20"/>
          <w:lang w:val="nl-BE"/>
        </w:rPr>
      </w:pPr>
      <w:r w:rsidRPr="00515748">
        <w:rPr>
          <w:rFonts w:ascii="Verdana" w:hAnsi="Verdana"/>
          <w:sz w:val="20"/>
          <w:szCs w:val="20"/>
          <w:lang w:val="nl-BE"/>
        </w:rPr>
        <w:t>Vlaams-Brabant</w:t>
      </w:r>
      <w:r w:rsidR="00056D89" w:rsidRPr="00515748">
        <w:rPr>
          <w:rFonts w:ascii="Verdana" w:hAnsi="Verdana"/>
          <w:sz w:val="20"/>
          <w:szCs w:val="20"/>
          <w:lang w:val="nl-BE"/>
        </w:rPr>
        <w:t>:</w:t>
      </w:r>
      <w:r w:rsidRPr="00515748">
        <w:rPr>
          <w:rFonts w:ascii="Verdana" w:hAnsi="Verdana"/>
          <w:sz w:val="20"/>
          <w:szCs w:val="20"/>
          <w:lang w:val="nl-BE"/>
        </w:rPr>
        <w:t xml:space="preserve"> 206 ha</w:t>
      </w:r>
    </w:p>
    <w:p w14:paraId="773F2E4E" w14:textId="3ABDE476" w:rsidR="0075030D" w:rsidRPr="00515748" w:rsidRDefault="00017B39" w:rsidP="00515748">
      <w:pPr>
        <w:pStyle w:val="Lijstalinea"/>
        <w:numPr>
          <w:ilvl w:val="0"/>
          <w:numId w:val="20"/>
        </w:numPr>
        <w:jc w:val="both"/>
        <w:rPr>
          <w:rFonts w:ascii="Verdana" w:hAnsi="Verdana"/>
          <w:sz w:val="20"/>
          <w:szCs w:val="20"/>
          <w:lang w:val="nl-BE"/>
        </w:rPr>
      </w:pPr>
      <w:r w:rsidRPr="00515748">
        <w:rPr>
          <w:rFonts w:ascii="Verdana" w:hAnsi="Verdana"/>
          <w:sz w:val="20"/>
          <w:szCs w:val="20"/>
          <w:lang w:val="nl-BE"/>
        </w:rPr>
        <w:t>West-Vlaanderen</w:t>
      </w:r>
      <w:r w:rsidR="003467D7" w:rsidRPr="00515748">
        <w:rPr>
          <w:rFonts w:ascii="Verdana" w:hAnsi="Verdana"/>
          <w:sz w:val="20"/>
          <w:szCs w:val="20"/>
          <w:lang w:val="nl-BE"/>
        </w:rPr>
        <w:t>:</w:t>
      </w:r>
      <w:r w:rsidR="00A21382" w:rsidRPr="00515748">
        <w:rPr>
          <w:rFonts w:ascii="Verdana" w:hAnsi="Verdana"/>
          <w:sz w:val="20"/>
          <w:szCs w:val="20"/>
          <w:lang w:val="nl-BE"/>
        </w:rPr>
        <w:t xml:space="preserve"> </w:t>
      </w:r>
      <w:r w:rsidRPr="00515748">
        <w:rPr>
          <w:rFonts w:ascii="Verdana" w:hAnsi="Verdana"/>
          <w:sz w:val="20"/>
          <w:szCs w:val="20"/>
          <w:lang w:val="nl-BE"/>
        </w:rPr>
        <w:t>404 ha</w:t>
      </w:r>
    </w:p>
    <w:p w14:paraId="037CD576" w14:textId="77777777" w:rsidR="00B8331F" w:rsidRPr="00515748" w:rsidRDefault="00B8331F" w:rsidP="00515748">
      <w:pPr>
        <w:jc w:val="both"/>
        <w:rPr>
          <w:rFonts w:ascii="Verdana" w:hAnsi="Verdana"/>
          <w:sz w:val="20"/>
          <w:szCs w:val="20"/>
          <w:lang w:val="nl-BE"/>
        </w:rPr>
      </w:pPr>
    </w:p>
    <w:p w14:paraId="5D1A5D9C" w14:textId="45D19CC4" w:rsidR="00017B39" w:rsidRPr="00515748" w:rsidRDefault="00475806" w:rsidP="00515748">
      <w:pPr>
        <w:pStyle w:val="Lijstalinea"/>
        <w:numPr>
          <w:ilvl w:val="0"/>
          <w:numId w:val="19"/>
        </w:numPr>
        <w:ind w:left="360"/>
        <w:jc w:val="both"/>
        <w:rPr>
          <w:rFonts w:ascii="Verdana" w:hAnsi="Verdana"/>
          <w:sz w:val="20"/>
          <w:szCs w:val="20"/>
          <w:lang w:val="nl-BE"/>
        </w:rPr>
      </w:pPr>
      <w:r w:rsidRPr="00515748">
        <w:rPr>
          <w:rFonts w:ascii="Verdana" w:hAnsi="Verdana"/>
          <w:sz w:val="20"/>
          <w:szCs w:val="20"/>
          <w:lang w:val="nl-BE"/>
        </w:rPr>
        <w:t>In totaal heeft</w:t>
      </w:r>
      <w:r w:rsidR="00B8331F" w:rsidRPr="00515748">
        <w:rPr>
          <w:rFonts w:ascii="Verdana" w:hAnsi="Verdana"/>
          <w:sz w:val="20"/>
          <w:szCs w:val="20"/>
          <w:lang w:val="nl-BE"/>
        </w:rPr>
        <w:t xml:space="preserve"> </w:t>
      </w:r>
      <w:r w:rsidR="00017B39" w:rsidRPr="00515748">
        <w:rPr>
          <w:rFonts w:ascii="Verdana" w:hAnsi="Verdana"/>
          <w:sz w:val="20"/>
          <w:szCs w:val="20"/>
          <w:lang w:val="nl-BE"/>
        </w:rPr>
        <w:t xml:space="preserve">479 ha signaalgebied </w:t>
      </w:r>
      <w:r w:rsidRPr="00515748">
        <w:rPr>
          <w:rFonts w:ascii="Verdana" w:hAnsi="Verdana"/>
          <w:sz w:val="20"/>
          <w:szCs w:val="20"/>
          <w:lang w:val="nl-BE"/>
        </w:rPr>
        <w:t xml:space="preserve">de bestemming “woongebied” en </w:t>
      </w:r>
      <w:r w:rsidR="00017B39" w:rsidRPr="00515748">
        <w:rPr>
          <w:rFonts w:ascii="Verdana" w:hAnsi="Verdana"/>
          <w:sz w:val="20"/>
          <w:szCs w:val="20"/>
          <w:lang w:val="nl-BE"/>
        </w:rPr>
        <w:t xml:space="preserve">1346 ha </w:t>
      </w:r>
      <w:r w:rsidRPr="00515748">
        <w:rPr>
          <w:rFonts w:ascii="Verdana" w:hAnsi="Verdana"/>
          <w:sz w:val="20"/>
          <w:szCs w:val="20"/>
          <w:lang w:val="nl-BE"/>
        </w:rPr>
        <w:t xml:space="preserve">een </w:t>
      </w:r>
      <w:proofErr w:type="gramStart"/>
      <w:r w:rsidRPr="00515748">
        <w:rPr>
          <w:rFonts w:ascii="Verdana" w:hAnsi="Verdana"/>
          <w:sz w:val="20"/>
          <w:szCs w:val="20"/>
          <w:lang w:val="nl-BE"/>
        </w:rPr>
        <w:t>bestemming</w:t>
      </w:r>
      <w:proofErr w:type="gramEnd"/>
      <w:r w:rsidRPr="00515748">
        <w:rPr>
          <w:rFonts w:ascii="Verdana" w:hAnsi="Verdana"/>
          <w:sz w:val="20"/>
          <w:szCs w:val="20"/>
          <w:lang w:val="nl-BE"/>
        </w:rPr>
        <w:t xml:space="preserve"> “</w:t>
      </w:r>
      <w:r w:rsidR="00017B39" w:rsidRPr="00515748">
        <w:rPr>
          <w:rFonts w:ascii="Verdana" w:hAnsi="Verdana"/>
          <w:sz w:val="20"/>
          <w:szCs w:val="20"/>
          <w:lang w:val="nl-BE"/>
        </w:rPr>
        <w:t>woonuitbreidingsgebied</w:t>
      </w:r>
      <w:r w:rsidRPr="00515748">
        <w:rPr>
          <w:rFonts w:ascii="Verdana" w:hAnsi="Verdana"/>
          <w:sz w:val="20"/>
          <w:szCs w:val="20"/>
          <w:lang w:val="nl-BE"/>
        </w:rPr>
        <w:t>”</w:t>
      </w:r>
      <w:r w:rsidR="00017B39" w:rsidRPr="00515748">
        <w:rPr>
          <w:rFonts w:ascii="Verdana" w:hAnsi="Verdana"/>
          <w:sz w:val="20"/>
          <w:szCs w:val="20"/>
          <w:lang w:val="nl-BE"/>
        </w:rPr>
        <w:t xml:space="preserve">. </w:t>
      </w:r>
      <w:r w:rsidR="00FB315A" w:rsidRPr="00515748">
        <w:rPr>
          <w:rFonts w:ascii="Verdana" w:hAnsi="Verdana"/>
          <w:sz w:val="20"/>
          <w:szCs w:val="20"/>
          <w:lang w:val="nl-BE"/>
        </w:rPr>
        <w:t>Hiervan heeft respectievelijk 248 ha en 603 ha een herbestemmingsopgave naar openruimte.</w:t>
      </w:r>
    </w:p>
    <w:p w14:paraId="3119A582" w14:textId="77777777" w:rsidR="003467D7" w:rsidRPr="00515748" w:rsidRDefault="003467D7" w:rsidP="00515748">
      <w:pPr>
        <w:pStyle w:val="Lijstalinea"/>
        <w:ind w:left="360"/>
        <w:jc w:val="both"/>
        <w:rPr>
          <w:rFonts w:ascii="Verdana" w:hAnsi="Verdana"/>
          <w:sz w:val="20"/>
          <w:szCs w:val="20"/>
          <w:lang w:val="nl-BE"/>
        </w:rPr>
      </w:pPr>
    </w:p>
    <w:p w14:paraId="179E587E" w14:textId="628D8C4C" w:rsidR="00D25AE1" w:rsidRPr="00515748" w:rsidRDefault="00515748" w:rsidP="00515748">
      <w:pPr>
        <w:pStyle w:val="Lijstalinea"/>
        <w:numPr>
          <w:ilvl w:val="0"/>
          <w:numId w:val="19"/>
        </w:numPr>
        <w:tabs>
          <w:tab w:val="left" w:pos="426"/>
        </w:tabs>
        <w:ind w:left="993" w:hanging="993"/>
        <w:jc w:val="both"/>
        <w:rPr>
          <w:rFonts w:ascii="Verdana" w:hAnsi="Verdana"/>
          <w:sz w:val="20"/>
          <w:szCs w:val="20"/>
          <w:lang w:val="nl-BE"/>
        </w:rPr>
      </w:pPr>
      <w:proofErr w:type="gramStart"/>
      <w:r>
        <w:rPr>
          <w:rFonts w:ascii="Verdana" w:hAnsi="Verdana"/>
          <w:sz w:val="20"/>
          <w:szCs w:val="20"/>
          <w:lang w:val="nl-BE"/>
        </w:rPr>
        <w:t>a</w:t>
      </w:r>
      <w:proofErr w:type="gramEnd"/>
      <w:r>
        <w:rPr>
          <w:rFonts w:ascii="Verdana" w:hAnsi="Verdana"/>
          <w:sz w:val="20"/>
          <w:szCs w:val="20"/>
          <w:lang w:val="nl-BE"/>
        </w:rPr>
        <w:t>-</w:t>
      </w:r>
      <w:r w:rsidR="00D25AE1" w:rsidRPr="00515748">
        <w:rPr>
          <w:rFonts w:ascii="Verdana" w:hAnsi="Verdana"/>
          <w:sz w:val="20"/>
          <w:szCs w:val="20"/>
          <w:lang w:val="nl-BE"/>
        </w:rPr>
        <w:t>b)</w:t>
      </w:r>
      <w:r>
        <w:rPr>
          <w:rFonts w:ascii="Verdana" w:hAnsi="Verdana"/>
          <w:sz w:val="20"/>
          <w:szCs w:val="20"/>
          <w:lang w:val="nl-BE"/>
        </w:rPr>
        <w:tab/>
      </w:r>
      <w:r w:rsidR="00017B39" w:rsidRPr="00515748">
        <w:rPr>
          <w:rFonts w:ascii="Verdana" w:hAnsi="Verdana"/>
          <w:sz w:val="20"/>
          <w:szCs w:val="20"/>
          <w:lang w:val="nl-BE"/>
        </w:rPr>
        <w:t xml:space="preserve">Sinds </w:t>
      </w:r>
      <w:r w:rsidR="003467D7" w:rsidRPr="00515748">
        <w:rPr>
          <w:rFonts w:ascii="Verdana" w:hAnsi="Verdana"/>
          <w:sz w:val="20"/>
          <w:szCs w:val="20"/>
          <w:lang w:val="nl-BE"/>
        </w:rPr>
        <w:t>0</w:t>
      </w:r>
      <w:r w:rsidR="00017B39" w:rsidRPr="00515748">
        <w:rPr>
          <w:rFonts w:ascii="Verdana" w:hAnsi="Verdana"/>
          <w:sz w:val="20"/>
          <w:szCs w:val="20"/>
          <w:lang w:val="nl-BE"/>
        </w:rPr>
        <w:t>1/</w:t>
      </w:r>
      <w:r w:rsidR="000D30CD" w:rsidRPr="00515748">
        <w:rPr>
          <w:rFonts w:ascii="Verdana" w:hAnsi="Verdana"/>
          <w:sz w:val="20"/>
          <w:szCs w:val="20"/>
          <w:lang w:val="nl-BE"/>
        </w:rPr>
        <w:t>0</w:t>
      </w:r>
      <w:r w:rsidR="00017B39" w:rsidRPr="00515748">
        <w:rPr>
          <w:rFonts w:ascii="Verdana" w:hAnsi="Verdana"/>
          <w:sz w:val="20"/>
          <w:szCs w:val="20"/>
          <w:lang w:val="nl-BE"/>
        </w:rPr>
        <w:t>1/2018 worden alle aanvragen voor een omgevingsvergunning of meldingen ingediend en behandeld via het omgevingsloket. Op dit loket werd een basismonitoring gebouwd. De hierbij geleverde informatie is gebaseerd op de gegevens opgenomen in het omgevingsloket, dat op 7 februari 2023 hiervoor geconsulteerd werd.</w:t>
      </w:r>
    </w:p>
    <w:p w14:paraId="72B552D2" w14:textId="57454614" w:rsidR="00017B39" w:rsidRPr="00515748" w:rsidRDefault="00017B39" w:rsidP="00515748">
      <w:pPr>
        <w:pStyle w:val="Lijstalinea"/>
        <w:ind w:left="993"/>
        <w:jc w:val="both"/>
        <w:rPr>
          <w:rFonts w:ascii="Verdana" w:hAnsi="Verdana"/>
          <w:sz w:val="20"/>
          <w:szCs w:val="20"/>
          <w:lang w:val="nl-BE"/>
        </w:rPr>
      </w:pPr>
      <w:r w:rsidRPr="00515748">
        <w:rPr>
          <w:rFonts w:ascii="Verdana" w:hAnsi="Verdana"/>
          <w:sz w:val="20"/>
          <w:szCs w:val="20"/>
          <w:lang w:val="nl-BE"/>
        </w:rPr>
        <w:t xml:space="preserve">De informatie over inhoud van het project wordt door de indiener bij de aanvraag in het loket geregistreerd. Niet voor alle aanvragen wordt deze gevraagde inhoud volledig of correct ingevuld. </w:t>
      </w:r>
    </w:p>
    <w:p w14:paraId="08C646FF" w14:textId="7CC5D8E8" w:rsidR="006578B8" w:rsidRPr="00515748" w:rsidRDefault="006578B8" w:rsidP="00515748">
      <w:pPr>
        <w:pStyle w:val="Lijstalinea"/>
        <w:ind w:left="993"/>
        <w:jc w:val="both"/>
        <w:rPr>
          <w:rFonts w:ascii="Verdana" w:hAnsi="Verdana"/>
          <w:sz w:val="20"/>
          <w:szCs w:val="20"/>
          <w:lang w:val="nl-BE"/>
        </w:rPr>
      </w:pPr>
      <w:r w:rsidRPr="00515748">
        <w:rPr>
          <w:rFonts w:ascii="Verdana" w:hAnsi="Verdana"/>
          <w:sz w:val="20"/>
          <w:szCs w:val="20"/>
          <w:lang w:val="nl-BE"/>
        </w:rPr>
        <w:t>Om project</w:t>
      </w:r>
      <w:r w:rsidR="002D41B8" w:rsidRPr="00515748">
        <w:rPr>
          <w:rFonts w:ascii="Verdana" w:hAnsi="Verdana"/>
          <w:sz w:val="20"/>
          <w:szCs w:val="20"/>
          <w:lang w:val="nl-BE"/>
        </w:rPr>
        <w:t>en</w:t>
      </w:r>
      <w:r w:rsidRPr="00515748">
        <w:rPr>
          <w:rFonts w:ascii="Verdana" w:hAnsi="Verdana"/>
          <w:sz w:val="20"/>
          <w:szCs w:val="20"/>
          <w:lang w:val="nl-BE"/>
        </w:rPr>
        <w:t xml:space="preserve"> </w:t>
      </w:r>
      <w:r w:rsidR="002D41B8" w:rsidRPr="00515748">
        <w:rPr>
          <w:rFonts w:ascii="Verdana" w:hAnsi="Verdana"/>
          <w:sz w:val="20"/>
          <w:szCs w:val="20"/>
          <w:lang w:val="nl-BE"/>
        </w:rPr>
        <w:t xml:space="preserve">geheel </w:t>
      </w:r>
      <w:r w:rsidRPr="00515748">
        <w:rPr>
          <w:rFonts w:ascii="Verdana" w:hAnsi="Verdana"/>
          <w:sz w:val="20"/>
          <w:szCs w:val="20"/>
          <w:lang w:val="nl-BE"/>
        </w:rPr>
        <w:t xml:space="preserve">gelegen </w:t>
      </w:r>
      <w:r w:rsidR="00893E07" w:rsidRPr="00515748">
        <w:rPr>
          <w:rFonts w:ascii="Verdana" w:hAnsi="Verdana"/>
          <w:sz w:val="20"/>
          <w:szCs w:val="20"/>
          <w:lang w:val="nl-BE"/>
        </w:rPr>
        <w:t xml:space="preserve">in signaalgebied </w:t>
      </w:r>
      <w:r w:rsidR="00965663" w:rsidRPr="00515748">
        <w:rPr>
          <w:rFonts w:ascii="Verdana" w:hAnsi="Verdana"/>
          <w:sz w:val="20"/>
          <w:szCs w:val="20"/>
          <w:lang w:val="nl-BE"/>
        </w:rPr>
        <w:t>mee te nemen</w:t>
      </w:r>
      <w:r w:rsidR="00EF4180" w:rsidRPr="00515748">
        <w:rPr>
          <w:rFonts w:ascii="Verdana" w:hAnsi="Verdana"/>
          <w:sz w:val="20"/>
          <w:szCs w:val="20"/>
          <w:lang w:val="nl-BE"/>
        </w:rPr>
        <w:t>,</w:t>
      </w:r>
      <w:r w:rsidR="00965663" w:rsidRPr="00515748">
        <w:rPr>
          <w:rFonts w:ascii="Verdana" w:hAnsi="Verdana"/>
          <w:sz w:val="20"/>
          <w:szCs w:val="20"/>
          <w:lang w:val="nl-BE"/>
        </w:rPr>
        <w:t xml:space="preserve"> </w:t>
      </w:r>
      <w:r w:rsidRPr="00515748">
        <w:rPr>
          <w:rFonts w:ascii="Verdana" w:hAnsi="Verdana"/>
          <w:sz w:val="20"/>
          <w:szCs w:val="20"/>
          <w:lang w:val="nl-BE"/>
        </w:rPr>
        <w:t xml:space="preserve">wordt een minimum ruimtelijke overlap van </w:t>
      </w:r>
      <w:r w:rsidR="00965663" w:rsidRPr="00515748">
        <w:rPr>
          <w:rFonts w:ascii="Verdana" w:hAnsi="Verdana"/>
          <w:sz w:val="20"/>
          <w:szCs w:val="20"/>
          <w:lang w:val="nl-BE"/>
        </w:rPr>
        <w:t>100</w:t>
      </w:r>
      <w:r w:rsidRPr="00515748">
        <w:rPr>
          <w:rFonts w:ascii="Verdana" w:hAnsi="Verdana"/>
          <w:sz w:val="20"/>
          <w:szCs w:val="20"/>
          <w:lang w:val="nl-BE"/>
        </w:rPr>
        <w:t>% van</w:t>
      </w:r>
      <w:r w:rsidR="002D41B8" w:rsidRPr="00515748">
        <w:rPr>
          <w:rFonts w:ascii="Verdana" w:hAnsi="Verdana"/>
          <w:sz w:val="20"/>
          <w:szCs w:val="20"/>
          <w:lang w:val="nl-BE"/>
        </w:rPr>
        <w:t xml:space="preserve"> de projectcontour verondersteld</w:t>
      </w:r>
      <w:r w:rsidR="00893E07" w:rsidRPr="00515748">
        <w:rPr>
          <w:rFonts w:ascii="Verdana" w:hAnsi="Verdana"/>
          <w:sz w:val="20"/>
          <w:szCs w:val="20"/>
          <w:lang w:val="nl-BE"/>
        </w:rPr>
        <w:t xml:space="preserve"> en als parameter voorzien</w:t>
      </w:r>
      <w:r w:rsidR="002D41B8" w:rsidRPr="00515748">
        <w:rPr>
          <w:rFonts w:ascii="Verdana" w:hAnsi="Verdana"/>
          <w:sz w:val="20"/>
          <w:szCs w:val="20"/>
          <w:lang w:val="nl-BE"/>
        </w:rPr>
        <w:t>.</w:t>
      </w:r>
    </w:p>
    <w:p w14:paraId="24033544" w14:textId="05ADD813" w:rsidR="00017B39" w:rsidRPr="00515748" w:rsidRDefault="00017B39" w:rsidP="00515748">
      <w:pPr>
        <w:pStyle w:val="Lijstalinea"/>
        <w:ind w:left="993"/>
        <w:jc w:val="both"/>
        <w:rPr>
          <w:rFonts w:ascii="Verdana" w:hAnsi="Verdana"/>
          <w:sz w:val="20"/>
          <w:szCs w:val="20"/>
          <w:lang w:val="nl-BE"/>
        </w:rPr>
      </w:pPr>
      <w:r w:rsidRPr="00515748">
        <w:rPr>
          <w:rFonts w:ascii="Verdana" w:hAnsi="Verdana"/>
          <w:sz w:val="20"/>
          <w:szCs w:val="20"/>
          <w:lang w:val="nl-BE"/>
        </w:rPr>
        <w:t xml:space="preserve">Per project kunnen er meerdere adviezen verleend </w:t>
      </w:r>
      <w:r w:rsidR="00E55765" w:rsidRPr="00515748">
        <w:rPr>
          <w:rFonts w:ascii="Verdana" w:hAnsi="Verdana"/>
          <w:sz w:val="20"/>
          <w:szCs w:val="20"/>
          <w:lang w:val="nl-BE"/>
        </w:rPr>
        <w:t xml:space="preserve">worden </w:t>
      </w:r>
      <w:r w:rsidRPr="00515748">
        <w:rPr>
          <w:rFonts w:ascii="Verdana" w:hAnsi="Verdana"/>
          <w:sz w:val="20"/>
          <w:szCs w:val="20"/>
          <w:lang w:val="nl-BE"/>
        </w:rPr>
        <w:t xml:space="preserve">door </w:t>
      </w:r>
      <w:r w:rsidR="00E55765" w:rsidRPr="00515748">
        <w:rPr>
          <w:rFonts w:ascii="Verdana" w:hAnsi="Verdana"/>
          <w:sz w:val="20"/>
          <w:szCs w:val="20"/>
          <w:lang w:val="nl-BE"/>
        </w:rPr>
        <w:t xml:space="preserve">één of </w:t>
      </w:r>
      <w:r w:rsidRPr="00515748">
        <w:rPr>
          <w:rFonts w:ascii="Verdana" w:hAnsi="Verdana"/>
          <w:sz w:val="20"/>
          <w:szCs w:val="20"/>
          <w:lang w:val="nl-BE"/>
        </w:rPr>
        <w:t xml:space="preserve">meerdere instanties. De aard van </w:t>
      </w:r>
      <w:r w:rsidR="00E55765" w:rsidRPr="00515748">
        <w:rPr>
          <w:rFonts w:ascii="Verdana" w:hAnsi="Verdana"/>
          <w:sz w:val="20"/>
          <w:szCs w:val="20"/>
          <w:lang w:val="nl-BE"/>
        </w:rPr>
        <w:t xml:space="preserve">de </w:t>
      </w:r>
      <w:r w:rsidRPr="00515748">
        <w:rPr>
          <w:rFonts w:ascii="Verdana" w:hAnsi="Verdana"/>
          <w:sz w:val="20"/>
          <w:szCs w:val="20"/>
          <w:lang w:val="nl-BE"/>
        </w:rPr>
        <w:t>verleende advie</w:t>
      </w:r>
      <w:r w:rsidR="00E55765" w:rsidRPr="00515748">
        <w:rPr>
          <w:rFonts w:ascii="Verdana" w:hAnsi="Verdana"/>
          <w:sz w:val="20"/>
          <w:szCs w:val="20"/>
          <w:lang w:val="nl-BE"/>
        </w:rPr>
        <w:t xml:space="preserve">zen in </w:t>
      </w:r>
      <w:r w:rsidR="002D41B8" w:rsidRPr="00515748">
        <w:rPr>
          <w:rFonts w:ascii="Verdana" w:hAnsi="Verdana"/>
          <w:sz w:val="20"/>
          <w:szCs w:val="20"/>
          <w:lang w:val="nl-BE"/>
        </w:rPr>
        <w:t>onderstaande</w:t>
      </w:r>
      <w:r w:rsidR="00E55765" w:rsidRPr="00515748">
        <w:rPr>
          <w:rFonts w:ascii="Verdana" w:hAnsi="Verdana"/>
          <w:sz w:val="20"/>
          <w:szCs w:val="20"/>
          <w:lang w:val="nl-BE"/>
        </w:rPr>
        <w:t xml:space="preserve"> telling</w:t>
      </w:r>
      <w:r w:rsidRPr="00515748">
        <w:rPr>
          <w:rFonts w:ascii="Verdana" w:hAnsi="Verdana"/>
          <w:sz w:val="20"/>
          <w:szCs w:val="20"/>
          <w:lang w:val="nl-BE"/>
        </w:rPr>
        <w:t xml:space="preserve"> </w:t>
      </w:r>
      <w:r w:rsidR="00E55765" w:rsidRPr="00515748">
        <w:rPr>
          <w:rFonts w:ascii="Verdana" w:hAnsi="Verdana"/>
          <w:sz w:val="20"/>
          <w:szCs w:val="20"/>
          <w:lang w:val="nl-BE"/>
        </w:rPr>
        <w:t xml:space="preserve">hoeven </w:t>
      </w:r>
      <w:r w:rsidRPr="00515748">
        <w:rPr>
          <w:rFonts w:ascii="Verdana" w:hAnsi="Verdana"/>
          <w:sz w:val="20"/>
          <w:szCs w:val="20"/>
          <w:lang w:val="nl-BE"/>
        </w:rPr>
        <w:t xml:space="preserve">niet verbonden </w:t>
      </w:r>
      <w:r w:rsidR="00E55765" w:rsidRPr="00515748">
        <w:rPr>
          <w:rFonts w:ascii="Verdana" w:hAnsi="Verdana"/>
          <w:sz w:val="20"/>
          <w:szCs w:val="20"/>
          <w:lang w:val="nl-BE"/>
        </w:rPr>
        <w:t xml:space="preserve">te zijn </w:t>
      </w:r>
      <w:r w:rsidRPr="00515748">
        <w:rPr>
          <w:rFonts w:ascii="Verdana" w:hAnsi="Verdana"/>
          <w:sz w:val="20"/>
          <w:szCs w:val="20"/>
          <w:lang w:val="nl-BE"/>
        </w:rPr>
        <w:t xml:space="preserve">met </w:t>
      </w:r>
      <w:r w:rsidR="006578B8" w:rsidRPr="00515748">
        <w:rPr>
          <w:rFonts w:ascii="Verdana" w:hAnsi="Verdana"/>
          <w:sz w:val="20"/>
          <w:szCs w:val="20"/>
          <w:lang w:val="nl-BE"/>
        </w:rPr>
        <w:t>de</w:t>
      </w:r>
      <w:r w:rsidR="00E55765" w:rsidRPr="00515748">
        <w:rPr>
          <w:rFonts w:ascii="Verdana" w:hAnsi="Verdana"/>
          <w:sz w:val="20"/>
          <w:szCs w:val="20"/>
          <w:lang w:val="nl-BE"/>
        </w:rPr>
        <w:t xml:space="preserve"> watertoets</w:t>
      </w:r>
      <w:r w:rsidR="002D41B8" w:rsidRPr="00515748">
        <w:rPr>
          <w:rFonts w:ascii="Verdana" w:hAnsi="Verdana"/>
          <w:sz w:val="20"/>
          <w:szCs w:val="20"/>
          <w:lang w:val="nl-BE"/>
        </w:rPr>
        <w:t xml:space="preserve"> en kunnen dus ook betrekking hebben op andere criteria</w:t>
      </w:r>
      <w:r w:rsidR="00E55765" w:rsidRPr="00515748">
        <w:rPr>
          <w:rFonts w:ascii="Verdana" w:hAnsi="Verdana"/>
          <w:sz w:val="20"/>
          <w:szCs w:val="20"/>
          <w:lang w:val="nl-BE"/>
        </w:rPr>
        <w:t>.</w:t>
      </w:r>
    </w:p>
    <w:p w14:paraId="6C7C3A53" w14:textId="5D081D2A" w:rsidR="00965663" w:rsidRPr="00515748" w:rsidRDefault="00965663" w:rsidP="00515748">
      <w:pPr>
        <w:pStyle w:val="Nummering"/>
        <w:numPr>
          <w:ilvl w:val="0"/>
          <w:numId w:val="0"/>
        </w:numPr>
        <w:spacing w:after="0"/>
        <w:rPr>
          <w:szCs w:val="20"/>
          <w:lang w:val="nl-BE"/>
        </w:rPr>
      </w:pPr>
    </w:p>
    <w:tbl>
      <w:tblPr>
        <w:tblW w:w="8034" w:type="dxa"/>
        <w:tblInd w:w="416" w:type="dxa"/>
        <w:tblCellMar>
          <w:left w:w="70" w:type="dxa"/>
          <w:right w:w="70" w:type="dxa"/>
        </w:tblCellMar>
        <w:tblLook w:val="04A0" w:firstRow="1" w:lastRow="0" w:firstColumn="1" w:lastColumn="0" w:noHBand="0" w:noVBand="1"/>
      </w:tblPr>
      <w:tblGrid>
        <w:gridCol w:w="1208"/>
        <w:gridCol w:w="2084"/>
        <w:gridCol w:w="960"/>
        <w:gridCol w:w="960"/>
        <w:gridCol w:w="960"/>
        <w:gridCol w:w="960"/>
        <w:gridCol w:w="960"/>
        <w:gridCol w:w="146"/>
      </w:tblGrid>
      <w:tr w:rsidR="00965663" w:rsidRPr="00515748" w14:paraId="1B792A28" w14:textId="77777777" w:rsidTr="00E81D6C">
        <w:trPr>
          <w:gridAfter w:val="1"/>
          <w:wAfter w:w="146" w:type="dxa"/>
          <w:trHeight w:val="288"/>
        </w:trPr>
        <w:tc>
          <w:tcPr>
            <w:tcW w:w="1004"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4D66701"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 </w:t>
            </w:r>
          </w:p>
        </w:tc>
        <w:tc>
          <w:tcPr>
            <w:tcW w:w="2084" w:type="dxa"/>
            <w:vMerge w:val="restart"/>
            <w:tcBorders>
              <w:top w:val="single" w:sz="8" w:space="0" w:color="auto"/>
              <w:left w:val="nil"/>
              <w:bottom w:val="single" w:sz="8" w:space="0" w:color="000000"/>
              <w:right w:val="nil"/>
              <w:tl2br w:val="single" w:sz="4" w:space="0" w:color="auto"/>
            </w:tcBorders>
            <w:shd w:val="clear" w:color="auto" w:fill="auto"/>
            <w:vAlign w:val="center"/>
            <w:hideMark/>
          </w:tcPr>
          <w:p w14:paraId="603A7E15" w14:textId="0769FB72"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 xml:space="preserve">                       </w:t>
            </w:r>
            <w:proofErr w:type="gramStart"/>
            <w:r w:rsidR="00074414" w:rsidRPr="00515748">
              <w:rPr>
                <w:rFonts w:ascii="Verdana" w:hAnsi="Verdana" w:cs="Calibri"/>
                <w:b/>
                <w:bCs/>
                <w:color w:val="000000"/>
                <w:sz w:val="20"/>
                <w:szCs w:val="20"/>
                <w:lang w:val="nl-BE" w:eastAsia="nl-BE"/>
              </w:rPr>
              <w:t>jaar</w:t>
            </w:r>
            <w:proofErr w:type="gramEnd"/>
            <w:r w:rsidRPr="00515748">
              <w:rPr>
                <w:rFonts w:ascii="Verdana" w:hAnsi="Verdana" w:cs="Calibri"/>
                <w:b/>
                <w:bCs/>
                <w:color w:val="000000"/>
                <w:sz w:val="20"/>
                <w:szCs w:val="20"/>
                <w:lang w:val="nl-BE" w:eastAsia="nl-BE"/>
              </w:rPr>
              <w:t xml:space="preserve">           </w:t>
            </w:r>
            <w:r w:rsidRPr="00515748">
              <w:rPr>
                <w:rFonts w:ascii="Verdana" w:hAnsi="Verdana" w:cs="Calibri"/>
                <w:b/>
                <w:bCs/>
                <w:color w:val="000000"/>
                <w:sz w:val="20"/>
                <w:szCs w:val="20"/>
                <w:lang w:val="nl-BE" w:eastAsia="nl-BE"/>
              </w:rPr>
              <w:br/>
              <w:t>type advies</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3F03DB0C"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2018</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11F73906"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2019</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5453509A"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2020</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1B481158"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2021</w:t>
            </w:r>
          </w:p>
        </w:tc>
        <w:tc>
          <w:tcPr>
            <w:tcW w:w="96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36CE17F0"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2022</w:t>
            </w:r>
          </w:p>
        </w:tc>
      </w:tr>
      <w:tr w:rsidR="00965663" w:rsidRPr="00515748" w14:paraId="02830436" w14:textId="77777777" w:rsidTr="00E81D6C">
        <w:trPr>
          <w:trHeight w:val="300"/>
        </w:trPr>
        <w:tc>
          <w:tcPr>
            <w:tcW w:w="1004" w:type="dxa"/>
            <w:vMerge/>
            <w:tcBorders>
              <w:top w:val="single" w:sz="8" w:space="0" w:color="auto"/>
              <w:left w:val="single" w:sz="8" w:space="0" w:color="auto"/>
              <w:bottom w:val="single" w:sz="8" w:space="0" w:color="000000"/>
              <w:right w:val="nil"/>
            </w:tcBorders>
            <w:vAlign w:val="center"/>
            <w:hideMark/>
          </w:tcPr>
          <w:p w14:paraId="1252FD73" w14:textId="77777777" w:rsidR="00965663" w:rsidRPr="00515748" w:rsidRDefault="00965663" w:rsidP="00515748">
            <w:pPr>
              <w:jc w:val="both"/>
              <w:rPr>
                <w:rFonts w:ascii="Verdana" w:hAnsi="Verdana" w:cs="Calibri"/>
                <w:color w:val="000000"/>
                <w:sz w:val="20"/>
                <w:szCs w:val="20"/>
                <w:lang w:val="nl-BE" w:eastAsia="nl-BE"/>
              </w:rPr>
            </w:pPr>
          </w:p>
        </w:tc>
        <w:tc>
          <w:tcPr>
            <w:tcW w:w="2084" w:type="dxa"/>
            <w:vMerge/>
            <w:tcBorders>
              <w:top w:val="single" w:sz="8" w:space="0" w:color="auto"/>
              <w:left w:val="nil"/>
              <w:bottom w:val="single" w:sz="8" w:space="0" w:color="000000"/>
              <w:right w:val="nil"/>
            </w:tcBorders>
            <w:vAlign w:val="center"/>
            <w:hideMark/>
          </w:tcPr>
          <w:p w14:paraId="14D1F21B" w14:textId="77777777" w:rsidR="00965663" w:rsidRPr="00515748" w:rsidRDefault="00965663" w:rsidP="00515748">
            <w:pPr>
              <w:jc w:val="both"/>
              <w:rPr>
                <w:rFonts w:ascii="Verdana" w:hAnsi="Verdana" w:cs="Calibri"/>
                <w:b/>
                <w:bCs/>
                <w:color w:val="000000"/>
                <w:sz w:val="20"/>
                <w:szCs w:val="20"/>
                <w:lang w:val="nl-BE" w:eastAsia="nl-BE"/>
              </w:rPr>
            </w:pPr>
          </w:p>
        </w:tc>
        <w:tc>
          <w:tcPr>
            <w:tcW w:w="960" w:type="dxa"/>
            <w:vMerge/>
            <w:tcBorders>
              <w:top w:val="single" w:sz="8" w:space="0" w:color="auto"/>
              <w:left w:val="nil"/>
              <w:bottom w:val="single" w:sz="8" w:space="0" w:color="000000"/>
              <w:right w:val="nil"/>
            </w:tcBorders>
            <w:vAlign w:val="center"/>
            <w:hideMark/>
          </w:tcPr>
          <w:p w14:paraId="5541BAAB" w14:textId="77777777" w:rsidR="00965663" w:rsidRPr="00515748" w:rsidRDefault="00965663" w:rsidP="00515748">
            <w:pPr>
              <w:jc w:val="both"/>
              <w:rPr>
                <w:rFonts w:ascii="Verdana" w:hAnsi="Verdana" w:cs="Calibri"/>
                <w:b/>
                <w:bCs/>
                <w:color w:val="000000"/>
                <w:sz w:val="20"/>
                <w:szCs w:val="20"/>
                <w:lang w:val="nl-BE" w:eastAsia="nl-BE"/>
              </w:rPr>
            </w:pPr>
          </w:p>
        </w:tc>
        <w:tc>
          <w:tcPr>
            <w:tcW w:w="960" w:type="dxa"/>
            <w:vMerge/>
            <w:tcBorders>
              <w:top w:val="single" w:sz="8" w:space="0" w:color="auto"/>
              <w:left w:val="nil"/>
              <w:bottom w:val="single" w:sz="8" w:space="0" w:color="000000"/>
              <w:right w:val="nil"/>
            </w:tcBorders>
            <w:vAlign w:val="center"/>
            <w:hideMark/>
          </w:tcPr>
          <w:p w14:paraId="55A30930" w14:textId="77777777" w:rsidR="00965663" w:rsidRPr="00515748" w:rsidRDefault="00965663" w:rsidP="00515748">
            <w:pPr>
              <w:jc w:val="both"/>
              <w:rPr>
                <w:rFonts w:ascii="Verdana" w:hAnsi="Verdana" w:cs="Calibri"/>
                <w:b/>
                <w:bCs/>
                <w:color w:val="000000"/>
                <w:sz w:val="20"/>
                <w:szCs w:val="20"/>
                <w:lang w:val="nl-BE" w:eastAsia="nl-BE"/>
              </w:rPr>
            </w:pPr>
          </w:p>
        </w:tc>
        <w:tc>
          <w:tcPr>
            <w:tcW w:w="960" w:type="dxa"/>
            <w:vMerge/>
            <w:tcBorders>
              <w:top w:val="single" w:sz="8" w:space="0" w:color="auto"/>
              <w:left w:val="nil"/>
              <w:bottom w:val="single" w:sz="8" w:space="0" w:color="000000"/>
              <w:right w:val="nil"/>
            </w:tcBorders>
            <w:vAlign w:val="center"/>
            <w:hideMark/>
          </w:tcPr>
          <w:p w14:paraId="6AA452D2" w14:textId="77777777" w:rsidR="00965663" w:rsidRPr="00515748" w:rsidRDefault="00965663" w:rsidP="00515748">
            <w:pPr>
              <w:jc w:val="both"/>
              <w:rPr>
                <w:rFonts w:ascii="Verdana" w:hAnsi="Verdana" w:cs="Calibri"/>
                <w:b/>
                <w:bCs/>
                <w:color w:val="000000"/>
                <w:sz w:val="20"/>
                <w:szCs w:val="20"/>
                <w:lang w:val="nl-BE" w:eastAsia="nl-BE"/>
              </w:rPr>
            </w:pPr>
          </w:p>
        </w:tc>
        <w:tc>
          <w:tcPr>
            <w:tcW w:w="960" w:type="dxa"/>
            <w:vMerge/>
            <w:tcBorders>
              <w:top w:val="single" w:sz="8" w:space="0" w:color="auto"/>
              <w:left w:val="nil"/>
              <w:bottom w:val="single" w:sz="8" w:space="0" w:color="000000"/>
              <w:right w:val="nil"/>
            </w:tcBorders>
            <w:vAlign w:val="center"/>
            <w:hideMark/>
          </w:tcPr>
          <w:p w14:paraId="3D0A4111" w14:textId="77777777" w:rsidR="00965663" w:rsidRPr="00515748" w:rsidRDefault="00965663" w:rsidP="00515748">
            <w:pPr>
              <w:jc w:val="both"/>
              <w:rPr>
                <w:rFonts w:ascii="Verdana" w:hAnsi="Verdana" w:cs="Calibri"/>
                <w:b/>
                <w:bCs/>
                <w:color w:val="000000"/>
                <w:sz w:val="20"/>
                <w:szCs w:val="20"/>
                <w:lang w:val="nl-BE" w:eastAsia="nl-BE"/>
              </w:rPr>
            </w:pPr>
          </w:p>
        </w:tc>
        <w:tc>
          <w:tcPr>
            <w:tcW w:w="960" w:type="dxa"/>
            <w:vMerge/>
            <w:tcBorders>
              <w:top w:val="single" w:sz="8" w:space="0" w:color="auto"/>
              <w:left w:val="nil"/>
              <w:bottom w:val="single" w:sz="8" w:space="0" w:color="000000"/>
              <w:right w:val="single" w:sz="8" w:space="0" w:color="auto"/>
            </w:tcBorders>
            <w:vAlign w:val="center"/>
            <w:hideMark/>
          </w:tcPr>
          <w:p w14:paraId="4D6F0FE7" w14:textId="77777777" w:rsidR="00965663" w:rsidRPr="00515748" w:rsidRDefault="00965663" w:rsidP="00515748">
            <w:pPr>
              <w:jc w:val="both"/>
              <w:rPr>
                <w:rFonts w:ascii="Verdana" w:hAnsi="Verdana" w:cs="Calibri"/>
                <w:b/>
                <w:bCs/>
                <w:color w:val="000000"/>
                <w:sz w:val="20"/>
                <w:szCs w:val="20"/>
                <w:lang w:val="nl-BE" w:eastAsia="nl-BE"/>
              </w:rPr>
            </w:pPr>
          </w:p>
        </w:tc>
        <w:tc>
          <w:tcPr>
            <w:tcW w:w="146" w:type="dxa"/>
            <w:tcBorders>
              <w:top w:val="nil"/>
              <w:left w:val="nil"/>
              <w:bottom w:val="nil"/>
              <w:right w:val="nil"/>
            </w:tcBorders>
            <w:shd w:val="clear" w:color="auto" w:fill="auto"/>
            <w:noWrap/>
            <w:vAlign w:val="bottom"/>
            <w:hideMark/>
          </w:tcPr>
          <w:p w14:paraId="38C1EBE2" w14:textId="77777777" w:rsidR="00965663" w:rsidRPr="00515748" w:rsidRDefault="00965663" w:rsidP="00515748">
            <w:pPr>
              <w:jc w:val="both"/>
              <w:rPr>
                <w:rFonts w:ascii="Verdana" w:hAnsi="Verdana" w:cs="Calibri"/>
                <w:b/>
                <w:bCs/>
                <w:color w:val="000000"/>
                <w:sz w:val="20"/>
                <w:szCs w:val="20"/>
                <w:lang w:val="nl-BE" w:eastAsia="nl-BE"/>
              </w:rPr>
            </w:pPr>
          </w:p>
        </w:tc>
      </w:tr>
      <w:tr w:rsidR="00965663" w:rsidRPr="00515748" w14:paraId="2D1760EB" w14:textId="77777777" w:rsidTr="00E81D6C">
        <w:trPr>
          <w:trHeight w:val="300"/>
        </w:trPr>
        <w:tc>
          <w:tcPr>
            <w:tcW w:w="1004" w:type="dxa"/>
            <w:tcBorders>
              <w:top w:val="nil"/>
              <w:left w:val="single" w:sz="8" w:space="0" w:color="auto"/>
              <w:bottom w:val="single" w:sz="8" w:space="0" w:color="auto"/>
              <w:right w:val="nil"/>
            </w:tcBorders>
            <w:shd w:val="clear" w:color="auto" w:fill="auto"/>
            <w:noWrap/>
            <w:vAlign w:val="center"/>
            <w:hideMark/>
          </w:tcPr>
          <w:p w14:paraId="77454D8D"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Melding</w:t>
            </w:r>
          </w:p>
        </w:tc>
        <w:tc>
          <w:tcPr>
            <w:tcW w:w="2084" w:type="dxa"/>
            <w:tcBorders>
              <w:top w:val="nil"/>
              <w:left w:val="nil"/>
              <w:bottom w:val="single" w:sz="8" w:space="0" w:color="auto"/>
              <w:right w:val="nil"/>
            </w:tcBorders>
            <w:shd w:val="clear" w:color="auto" w:fill="auto"/>
            <w:noWrap/>
            <w:vAlign w:val="center"/>
            <w:hideMark/>
          </w:tcPr>
          <w:p w14:paraId="38BD146F"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Geen advies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8C5BA9E"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6495267F"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48F2D3F1"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26B99D6B"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w:t>
            </w:r>
          </w:p>
        </w:tc>
        <w:tc>
          <w:tcPr>
            <w:tcW w:w="960" w:type="dxa"/>
            <w:tcBorders>
              <w:top w:val="nil"/>
              <w:left w:val="nil"/>
              <w:bottom w:val="single" w:sz="8" w:space="0" w:color="auto"/>
              <w:right w:val="single" w:sz="8" w:space="0" w:color="auto"/>
            </w:tcBorders>
            <w:shd w:val="clear" w:color="auto" w:fill="auto"/>
            <w:noWrap/>
            <w:vAlign w:val="center"/>
            <w:hideMark/>
          </w:tcPr>
          <w:p w14:paraId="39D8D5AF"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w:t>
            </w:r>
          </w:p>
        </w:tc>
        <w:tc>
          <w:tcPr>
            <w:tcW w:w="146" w:type="dxa"/>
            <w:vAlign w:val="center"/>
            <w:hideMark/>
          </w:tcPr>
          <w:p w14:paraId="4E8A5CCF" w14:textId="77777777" w:rsidR="00965663" w:rsidRPr="00515748" w:rsidRDefault="00965663" w:rsidP="00515748">
            <w:pPr>
              <w:jc w:val="both"/>
              <w:rPr>
                <w:rFonts w:ascii="Verdana" w:hAnsi="Verdana"/>
                <w:sz w:val="20"/>
                <w:szCs w:val="20"/>
                <w:lang w:val="nl-BE" w:eastAsia="nl-BE"/>
              </w:rPr>
            </w:pPr>
          </w:p>
        </w:tc>
      </w:tr>
      <w:tr w:rsidR="00965663" w:rsidRPr="00515748" w14:paraId="23C3E389" w14:textId="77777777" w:rsidTr="00E81D6C">
        <w:trPr>
          <w:trHeight w:val="300"/>
        </w:trPr>
        <w:tc>
          <w:tcPr>
            <w:tcW w:w="1004" w:type="dxa"/>
            <w:tcBorders>
              <w:top w:val="nil"/>
              <w:left w:val="single" w:sz="8" w:space="0" w:color="auto"/>
              <w:bottom w:val="nil"/>
              <w:right w:val="nil"/>
            </w:tcBorders>
            <w:shd w:val="clear" w:color="auto" w:fill="auto"/>
            <w:noWrap/>
            <w:vAlign w:val="center"/>
            <w:hideMark/>
          </w:tcPr>
          <w:p w14:paraId="74EDEA8A"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Aanvraag</w:t>
            </w:r>
          </w:p>
        </w:tc>
        <w:tc>
          <w:tcPr>
            <w:tcW w:w="2084" w:type="dxa"/>
            <w:tcBorders>
              <w:top w:val="nil"/>
              <w:left w:val="nil"/>
              <w:bottom w:val="single" w:sz="8" w:space="0" w:color="auto"/>
              <w:right w:val="nil"/>
            </w:tcBorders>
            <w:shd w:val="clear" w:color="auto" w:fill="auto"/>
            <w:noWrap/>
            <w:vAlign w:val="center"/>
            <w:hideMark/>
          </w:tcPr>
          <w:p w14:paraId="664BA1CC"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w:t>
            </w:r>
            <w:proofErr w:type="gramStart"/>
            <w:r w:rsidRPr="00515748">
              <w:rPr>
                <w:rFonts w:ascii="Verdana" w:hAnsi="Verdana" w:cs="Calibri"/>
                <w:color w:val="000000"/>
                <w:sz w:val="20"/>
                <w:szCs w:val="20"/>
                <w:lang w:val="nl-BE" w:eastAsia="nl-BE"/>
              </w:rPr>
              <w:t>gedeeltelijk</w:t>
            </w:r>
            <w:proofErr w:type="gramEnd"/>
            <w:r w:rsidRPr="00515748">
              <w:rPr>
                <w:rFonts w:ascii="Verdana" w:hAnsi="Verdana" w:cs="Calibri"/>
                <w:color w:val="000000"/>
                <w:sz w:val="20"/>
                <w:szCs w:val="20"/>
                <w:lang w:val="nl-BE" w:eastAsia="nl-BE"/>
              </w:rPr>
              <w:t>) gunstig</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E8AFE13"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54</w:t>
            </w:r>
          </w:p>
        </w:tc>
        <w:tc>
          <w:tcPr>
            <w:tcW w:w="960" w:type="dxa"/>
            <w:tcBorders>
              <w:top w:val="nil"/>
              <w:left w:val="nil"/>
              <w:bottom w:val="single" w:sz="8" w:space="0" w:color="auto"/>
              <w:right w:val="single" w:sz="8" w:space="0" w:color="auto"/>
            </w:tcBorders>
            <w:shd w:val="clear" w:color="auto" w:fill="auto"/>
            <w:noWrap/>
            <w:vAlign w:val="center"/>
            <w:hideMark/>
          </w:tcPr>
          <w:p w14:paraId="35421F7B"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61</w:t>
            </w:r>
          </w:p>
        </w:tc>
        <w:tc>
          <w:tcPr>
            <w:tcW w:w="960" w:type="dxa"/>
            <w:tcBorders>
              <w:top w:val="nil"/>
              <w:left w:val="nil"/>
              <w:bottom w:val="single" w:sz="8" w:space="0" w:color="auto"/>
              <w:right w:val="single" w:sz="8" w:space="0" w:color="auto"/>
            </w:tcBorders>
            <w:shd w:val="clear" w:color="auto" w:fill="auto"/>
            <w:noWrap/>
            <w:vAlign w:val="center"/>
            <w:hideMark/>
          </w:tcPr>
          <w:p w14:paraId="44BE7FD5"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62</w:t>
            </w:r>
          </w:p>
        </w:tc>
        <w:tc>
          <w:tcPr>
            <w:tcW w:w="960" w:type="dxa"/>
            <w:tcBorders>
              <w:top w:val="nil"/>
              <w:left w:val="nil"/>
              <w:bottom w:val="single" w:sz="8" w:space="0" w:color="auto"/>
              <w:right w:val="single" w:sz="8" w:space="0" w:color="auto"/>
            </w:tcBorders>
            <w:shd w:val="clear" w:color="auto" w:fill="auto"/>
            <w:noWrap/>
            <w:vAlign w:val="center"/>
            <w:hideMark/>
          </w:tcPr>
          <w:p w14:paraId="5B3AF986"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62</w:t>
            </w:r>
          </w:p>
        </w:tc>
        <w:tc>
          <w:tcPr>
            <w:tcW w:w="960" w:type="dxa"/>
            <w:tcBorders>
              <w:top w:val="nil"/>
              <w:left w:val="nil"/>
              <w:bottom w:val="single" w:sz="8" w:space="0" w:color="auto"/>
              <w:right w:val="single" w:sz="8" w:space="0" w:color="auto"/>
            </w:tcBorders>
            <w:shd w:val="clear" w:color="auto" w:fill="auto"/>
            <w:noWrap/>
            <w:vAlign w:val="center"/>
            <w:hideMark/>
          </w:tcPr>
          <w:p w14:paraId="00838025"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50</w:t>
            </w:r>
          </w:p>
        </w:tc>
        <w:tc>
          <w:tcPr>
            <w:tcW w:w="146" w:type="dxa"/>
            <w:vAlign w:val="center"/>
            <w:hideMark/>
          </w:tcPr>
          <w:p w14:paraId="4FD7C596" w14:textId="77777777" w:rsidR="00965663" w:rsidRPr="00515748" w:rsidRDefault="00965663" w:rsidP="00515748">
            <w:pPr>
              <w:jc w:val="both"/>
              <w:rPr>
                <w:rFonts w:ascii="Verdana" w:hAnsi="Verdana"/>
                <w:sz w:val="20"/>
                <w:szCs w:val="20"/>
                <w:lang w:val="nl-BE" w:eastAsia="nl-BE"/>
              </w:rPr>
            </w:pPr>
          </w:p>
        </w:tc>
      </w:tr>
      <w:tr w:rsidR="00965663" w:rsidRPr="00515748" w14:paraId="25ED9FA3" w14:textId="77777777" w:rsidTr="00E81D6C">
        <w:trPr>
          <w:trHeight w:val="300"/>
        </w:trPr>
        <w:tc>
          <w:tcPr>
            <w:tcW w:w="1004" w:type="dxa"/>
            <w:tcBorders>
              <w:top w:val="nil"/>
              <w:left w:val="single" w:sz="8" w:space="0" w:color="auto"/>
              <w:bottom w:val="nil"/>
              <w:right w:val="nil"/>
            </w:tcBorders>
            <w:shd w:val="clear" w:color="auto" w:fill="auto"/>
            <w:noWrap/>
            <w:vAlign w:val="center"/>
            <w:hideMark/>
          </w:tcPr>
          <w:p w14:paraId="2CFCCE1F"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 </w:t>
            </w:r>
          </w:p>
        </w:tc>
        <w:tc>
          <w:tcPr>
            <w:tcW w:w="2084" w:type="dxa"/>
            <w:tcBorders>
              <w:top w:val="nil"/>
              <w:left w:val="nil"/>
              <w:bottom w:val="single" w:sz="8" w:space="0" w:color="auto"/>
              <w:right w:val="nil"/>
            </w:tcBorders>
            <w:shd w:val="clear" w:color="auto" w:fill="auto"/>
            <w:noWrap/>
            <w:vAlign w:val="center"/>
            <w:hideMark/>
          </w:tcPr>
          <w:p w14:paraId="797C3C72"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Ongunstig</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27E2AB"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8</w:t>
            </w:r>
          </w:p>
        </w:tc>
        <w:tc>
          <w:tcPr>
            <w:tcW w:w="960" w:type="dxa"/>
            <w:tcBorders>
              <w:top w:val="nil"/>
              <w:left w:val="nil"/>
              <w:bottom w:val="single" w:sz="8" w:space="0" w:color="auto"/>
              <w:right w:val="single" w:sz="8" w:space="0" w:color="auto"/>
            </w:tcBorders>
            <w:shd w:val="clear" w:color="auto" w:fill="auto"/>
            <w:noWrap/>
            <w:vAlign w:val="center"/>
            <w:hideMark/>
          </w:tcPr>
          <w:p w14:paraId="4B2F7A56"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11</w:t>
            </w:r>
          </w:p>
        </w:tc>
        <w:tc>
          <w:tcPr>
            <w:tcW w:w="960" w:type="dxa"/>
            <w:tcBorders>
              <w:top w:val="nil"/>
              <w:left w:val="nil"/>
              <w:bottom w:val="single" w:sz="8" w:space="0" w:color="auto"/>
              <w:right w:val="single" w:sz="8" w:space="0" w:color="auto"/>
            </w:tcBorders>
            <w:shd w:val="clear" w:color="auto" w:fill="auto"/>
            <w:noWrap/>
            <w:vAlign w:val="center"/>
            <w:hideMark/>
          </w:tcPr>
          <w:p w14:paraId="77750244"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14</w:t>
            </w:r>
          </w:p>
        </w:tc>
        <w:tc>
          <w:tcPr>
            <w:tcW w:w="960" w:type="dxa"/>
            <w:tcBorders>
              <w:top w:val="nil"/>
              <w:left w:val="nil"/>
              <w:bottom w:val="single" w:sz="8" w:space="0" w:color="auto"/>
              <w:right w:val="single" w:sz="8" w:space="0" w:color="auto"/>
            </w:tcBorders>
            <w:shd w:val="clear" w:color="auto" w:fill="auto"/>
            <w:noWrap/>
            <w:vAlign w:val="center"/>
            <w:hideMark/>
          </w:tcPr>
          <w:p w14:paraId="5EE4E06A"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15</w:t>
            </w:r>
          </w:p>
        </w:tc>
        <w:tc>
          <w:tcPr>
            <w:tcW w:w="960" w:type="dxa"/>
            <w:tcBorders>
              <w:top w:val="nil"/>
              <w:left w:val="nil"/>
              <w:bottom w:val="single" w:sz="8" w:space="0" w:color="auto"/>
              <w:right w:val="single" w:sz="8" w:space="0" w:color="auto"/>
            </w:tcBorders>
            <w:shd w:val="clear" w:color="auto" w:fill="auto"/>
            <w:noWrap/>
            <w:vAlign w:val="center"/>
            <w:hideMark/>
          </w:tcPr>
          <w:p w14:paraId="0D822A23"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15</w:t>
            </w:r>
          </w:p>
        </w:tc>
        <w:tc>
          <w:tcPr>
            <w:tcW w:w="146" w:type="dxa"/>
            <w:vAlign w:val="center"/>
            <w:hideMark/>
          </w:tcPr>
          <w:p w14:paraId="55973C35" w14:textId="77777777" w:rsidR="00965663" w:rsidRPr="00515748" w:rsidRDefault="00965663" w:rsidP="00515748">
            <w:pPr>
              <w:jc w:val="both"/>
              <w:rPr>
                <w:rFonts w:ascii="Verdana" w:hAnsi="Verdana"/>
                <w:sz w:val="20"/>
                <w:szCs w:val="20"/>
                <w:lang w:val="nl-BE" w:eastAsia="nl-BE"/>
              </w:rPr>
            </w:pPr>
          </w:p>
        </w:tc>
      </w:tr>
      <w:tr w:rsidR="00965663" w:rsidRPr="00515748" w14:paraId="5306D37B" w14:textId="77777777" w:rsidTr="00E81D6C">
        <w:trPr>
          <w:trHeight w:val="300"/>
        </w:trPr>
        <w:tc>
          <w:tcPr>
            <w:tcW w:w="1004" w:type="dxa"/>
            <w:tcBorders>
              <w:top w:val="nil"/>
              <w:left w:val="single" w:sz="8" w:space="0" w:color="auto"/>
              <w:bottom w:val="single" w:sz="8" w:space="0" w:color="auto"/>
              <w:right w:val="nil"/>
            </w:tcBorders>
            <w:shd w:val="clear" w:color="auto" w:fill="auto"/>
            <w:noWrap/>
            <w:vAlign w:val="center"/>
            <w:hideMark/>
          </w:tcPr>
          <w:p w14:paraId="2811F6A6" w14:textId="77777777" w:rsidR="00965663" w:rsidRPr="00515748" w:rsidRDefault="00965663" w:rsidP="00515748">
            <w:pPr>
              <w:jc w:val="both"/>
              <w:rPr>
                <w:rFonts w:ascii="Verdana" w:hAnsi="Verdana" w:cs="Calibri"/>
                <w:b/>
                <w:bCs/>
                <w:color w:val="000000"/>
                <w:sz w:val="20"/>
                <w:szCs w:val="20"/>
                <w:lang w:val="nl-BE" w:eastAsia="nl-BE"/>
              </w:rPr>
            </w:pPr>
            <w:r w:rsidRPr="00515748">
              <w:rPr>
                <w:rFonts w:ascii="Verdana" w:hAnsi="Verdana" w:cs="Calibri"/>
                <w:b/>
                <w:bCs/>
                <w:color w:val="000000"/>
                <w:sz w:val="20"/>
                <w:szCs w:val="20"/>
                <w:lang w:val="nl-BE" w:eastAsia="nl-BE"/>
              </w:rPr>
              <w:t> </w:t>
            </w:r>
          </w:p>
        </w:tc>
        <w:tc>
          <w:tcPr>
            <w:tcW w:w="2084" w:type="dxa"/>
            <w:tcBorders>
              <w:top w:val="nil"/>
              <w:left w:val="nil"/>
              <w:bottom w:val="single" w:sz="8" w:space="0" w:color="auto"/>
              <w:right w:val="nil"/>
            </w:tcBorders>
            <w:shd w:val="clear" w:color="auto" w:fill="auto"/>
            <w:noWrap/>
            <w:vAlign w:val="center"/>
            <w:hideMark/>
          </w:tcPr>
          <w:p w14:paraId="54300E41"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Geen advies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529FA62F"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76</w:t>
            </w:r>
          </w:p>
        </w:tc>
        <w:tc>
          <w:tcPr>
            <w:tcW w:w="960" w:type="dxa"/>
            <w:tcBorders>
              <w:top w:val="nil"/>
              <w:left w:val="nil"/>
              <w:bottom w:val="single" w:sz="8" w:space="0" w:color="auto"/>
              <w:right w:val="single" w:sz="8" w:space="0" w:color="auto"/>
            </w:tcBorders>
            <w:shd w:val="clear" w:color="auto" w:fill="auto"/>
            <w:noWrap/>
            <w:vAlign w:val="center"/>
            <w:hideMark/>
          </w:tcPr>
          <w:p w14:paraId="51B7395B"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92</w:t>
            </w:r>
          </w:p>
        </w:tc>
        <w:tc>
          <w:tcPr>
            <w:tcW w:w="960" w:type="dxa"/>
            <w:tcBorders>
              <w:top w:val="nil"/>
              <w:left w:val="nil"/>
              <w:bottom w:val="single" w:sz="8" w:space="0" w:color="auto"/>
              <w:right w:val="single" w:sz="8" w:space="0" w:color="auto"/>
            </w:tcBorders>
            <w:shd w:val="clear" w:color="auto" w:fill="auto"/>
            <w:noWrap/>
            <w:vAlign w:val="center"/>
            <w:hideMark/>
          </w:tcPr>
          <w:p w14:paraId="7D20418E"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86</w:t>
            </w:r>
          </w:p>
        </w:tc>
        <w:tc>
          <w:tcPr>
            <w:tcW w:w="960" w:type="dxa"/>
            <w:tcBorders>
              <w:top w:val="nil"/>
              <w:left w:val="nil"/>
              <w:bottom w:val="single" w:sz="8" w:space="0" w:color="auto"/>
              <w:right w:val="single" w:sz="8" w:space="0" w:color="auto"/>
            </w:tcBorders>
            <w:shd w:val="clear" w:color="auto" w:fill="auto"/>
            <w:noWrap/>
            <w:vAlign w:val="center"/>
            <w:hideMark/>
          </w:tcPr>
          <w:p w14:paraId="597FDB32"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90</w:t>
            </w:r>
          </w:p>
        </w:tc>
        <w:tc>
          <w:tcPr>
            <w:tcW w:w="960" w:type="dxa"/>
            <w:tcBorders>
              <w:top w:val="nil"/>
              <w:left w:val="nil"/>
              <w:bottom w:val="single" w:sz="8" w:space="0" w:color="auto"/>
              <w:right w:val="single" w:sz="8" w:space="0" w:color="auto"/>
            </w:tcBorders>
            <w:shd w:val="clear" w:color="auto" w:fill="auto"/>
            <w:noWrap/>
            <w:vAlign w:val="center"/>
            <w:hideMark/>
          </w:tcPr>
          <w:p w14:paraId="1908FBB0" w14:textId="77777777" w:rsidR="00965663" w:rsidRPr="00515748" w:rsidRDefault="00965663" w:rsidP="00515748">
            <w:pPr>
              <w:jc w:val="both"/>
              <w:rPr>
                <w:rFonts w:ascii="Verdana" w:hAnsi="Verdana" w:cs="Calibri"/>
                <w:color w:val="000000"/>
                <w:sz w:val="20"/>
                <w:szCs w:val="20"/>
                <w:lang w:val="nl-BE" w:eastAsia="nl-BE"/>
              </w:rPr>
            </w:pPr>
            <w:r w:rsidRPr="00515748">
              <w:rPr>
                <w:rFonts w:ascii="Verdana" w:hAnsi="Verdana" w:cs="Calibri"/>
                <w:color w:val="000000"/>
                <w:sz w:val="20"/>
                <w:szCs w:val="20"/>
                <w:lang w:val="nl-BE" w:eastAsia="nl-BE"/>
              </w:rPr>
              <w:t>87</w:t>
            </w:r>
          </w:p>
        </w:tc>
        <w:tc>
          <w:tcPr>
            <w:tcW w:w="146" w:type="dxa"/>
            <w:vAlign w:val="center"/>
            <w:hideMark/>
          </w:tcPr>
          <w:p w14:paraId="08AC3F58" w14:textId="77777777" w:rsidR="00965663" w:rsidRPr="00515748" w:rsidRDefault="00965663" w:rsidP="00515748">
            <w:pPr>
              <w:jc w:val="both"/>
              <w:rPr>
                <w:rFonts w:ascii="Verdana" w:hAnsi="Verdana"/>
                <w:sz w:val="20"/>
                <w:szCs w:val="20"/>
                <w:lang w:val="nl-BE" w:eastAsia="nl-BE"/>
              </w:rPr>
            </w:pPr>
          </w:p>
        </w:tc>
      </w:tr>
    </w:tbl>
    <w:p w14:paraId="3663EB64" w14:textId="77777777" w:rsidR="00EF4180" w:rsidRPr="00515748" w:rsidRDefault="00EF4180" w:rsidP="00515748">
      <w:pPr>
        <w:pStyle w:val="Nummering"/>
        <w:numPr>
          <w:ilvl w:val="0"/>
          <w:numId w:val="0"/>
        </w:numPr>
        <w:spacing w:after="0"/>
        <w:ind w:left="427"/>
        <w:rPr>
          <w:szCs w:val="20"/>
          <w:lang w:val="nl-BE"/>
        </w:rPr>
      </w:pPr>
    </w:p>
    <w:p w14:paraId="11172FCF" w14:textId="3037C6BB" w:rsidR="00C534DF" w:rsidRPr="00515748" w:rsidRDefault="000551F3" w:rsidP="00515748">
      <w:pPr>
        <w:pStyle w:val="Nummering"/>
        <w:numPr>
          <w:ilvl w:val="0"/>
          <w:numId w:val="21"/>
        </w:numPr>
        <w:spacing w:after="0"/>
        <w:rPr>
          <w:szCs w:val="20"/>
          <w:lang w:val="nl-BE"/>
        </w:rPr>
      </w:pPr>
      <w:r w:rsidRPr="00515748">
        <w:rPr>
          <w:szCs w:val="20"/>
          <w:lang w:val="nl-BE"/>
        </w:rPr>
        <w:t xml:space="preserve">Van de ongunstig geadviseerde projecten werden </w:t>
      </w:r>
      <w:r w:rsidR="00C534DF" w:rsidRPr="00515748">
        <w:rPr>
          <w:szCs w:val="20"/>
          <w:lang w:val="nl-BE"/>
        </w:rPr>
        <w:t>vergund:</w:t>
      </w:r>
    </w:p>
    <w:p w14:paraId="1FF4F076" w14:textId="77777777" w:rsidR="00C534DF" w:rsidRPr="00515748" w:rsidRDefault="000551F3" w:rsidP="00515748">
      <w:pPr>
        <w:pStyle w:val="Nummering"/>
        <w:numPr>
          <w:ilvl w:val="0"/>
          <w:numId w:val="0"/>
        </w:numPr>
        <w:spacing w:after="0"/>
        <w:ind w:left="787"/>
        <w:rPr>
          <w:szCs w:val="20"/>
          <w:lang w:val="nl-BE"/>
        </w:rPr>
      </w:pPr>
      <w:proofErr w:type="gramStart"/>
      <w:r w:rsidRPr="00515748">
        <w:rPr>
          <w:szCs w:val="20"/>
          <w:lang w:val="nl-BE"/>
        </w:rPr>
        <w:t>i</w:t>
      </w:r>
      <w:r w:rsidR="006578B8" w:rsidRPr="00515748">
        <w:rPr>
          <w:szCs w:val="20"/>
          <w:lang w:val="nl-BE"/>
        </w:rPr>
        <w:t>n</w:t>
      </w:r>
      <w:proofErr w:type="gramEnd"/>
      <w:r w:rsidR="006578B8" w:rsidRPr="00515748">
        <w:rPr>
          <w:szCs w:val="20"/>
          <w:lang w:val="nl-BE"/>
        </w:rPr>
        <w:t xml:space="preserve"> 2018 </w:t>
      </w:r>
      <w:r w:rsidR="00C534DF" w:rsidRPr="00515748">
        <w:rPr>
          <w:szCs w:val="20"/>
          <w:lang w:val="nl-BE"/>
        </w:rPr>
        <w:tab/>
      </w:r>
      <w:r w:rsidR="00965663" w:rsidRPr="00515748">
        <w:rPr>
          <w:szCs w:val="20"/>
          <w:lang w:val="nl-BE"/>
        </w:rPr>
        <w:t>5</w:t>
      </w:r>
      <w:r w:rsidR="006578B8" w:rsidRPr="00515748">
        <w:rPr>
          <w:szCs w:val="20"/>
          <w:lang w:val="nl-BE"/>
        </w:rPr>
        <w:t xml:space="preserve"> aanvragen </w:t>
      </w:r>
    </w:p>
    <w:p w14:paraId="48E5E64D" w14:textId="77777777" w:rsidR="00C534DF" w:rsidRPr="00515748" w:rsidRDefault="00965663" w:rsidP="00515748">
      <w:pPr>
        <w:pStyle w:val="Nummering"/>
        <w:numPr>
          <w:ilvl w:val="0"/>
          <w:numId w:val="0"/>
        </w:numPr>
        <w:spacing w:after="0"/>
        <w:ind w:left="787"/>
        <w:rPr>
          <w:szCs w:val="20"/>
          <w:lang w:val="nl-BE"/>
        </w:rPr>
      </w:pPr>
      <w:proofErr w:type="gramStart"/>
      <w:r w:rsidRPr="00515748">
        <w:rPr>
          <w:szCs w:val="20"/>
          <w:lang w:val="nl-BE"/>
        </w:rPr>
        <w:t>in</w:t>
      </w:r>
      <w:proofErr w:type="gramEnd"/>
      <w:r w:rsidRPr="00515748">
        <w:rPr>
          <w:szCs w:val="20"/>
          <w:lang w:val="nl-BE"/>
        </w:rPr>
        <w:t xml:space="preserve"> 2019</w:t>
      </w:r>
      <w:r w:rsidR="00C534DF" w:rsidRPr="00515748">
        <w:rPr>
          <w:szCs w:val="20"/>
          <w:lang w:val="nl-BE"/>
        </w:rPr>
        <w:tab/>
        <w:t>4 aanvragen</w:t>
      </w:r>
    </w:p>
    <w:p w14:paraId="221BEF37" w14:textId="77777777" w:rsidR="00C534DF" w:rsidRPr="00515748" w:rsidRDefault="00C534DF" w:rsidP="00515748">
      <w:pPr>
        <w:pStyle w:val="Nummering"/>
        <w:numPr>
          <w:ilvl w:val="0"/>
          <w:numId w:val="0"/>
        </w:numPr>
        <w:spacing w:after="0"/>
        <w:ind w:left="787"/>
        <w:rPr>
          <w:szCs w:val="20"/>
          <w:lang w:val="nl-BE"/>
        </w:rPr>
      </w:pPr>
      <w:proofErr w:type="gramStart"/>
      <w:r w:rsidRPr="00515748">
        <w:rPr>
          <w:szCs w:val="20"/>
          <w:lang w:val="nl-BE"/>
        </w:rPr>
        <w:t>i</w:t>
      </w:r>
      <w:r w:rsidR="00965663" w:rsidRPr="00515748">
        <w:rPr>
          <w:szCs w:val="20"/>
          <w:lang w:val="nl-BE"/>
        </w:rPr>
        <w:t>n</w:t>
      </w:r>
      <w:proofErr w:type="gramEnd"/>
      <w:r w:rsidR="00965663" w:rsidRPr="00515748">
        <w:rPr>
          <w:szCs w:val="20"/>
          <w:lang w:val="nl-BE"/>
        </w:rPr>
        <w:t xml:space="preserve"> 2020 </w:t>
      </w:r>
      <w:r w:rsidRPr="00515748">
        <w:rPr>
          <w:szCs w:val="20"/>
          <w:lang w:val="nl-BE"/>
        </w:rPr>
        <w:tab/>
      </w:r>
      <w:r w:rsidR="00965663" w:rsidRPr="00515748">
        <w:rPr>
          <w:szCs w:val="20"/>
          <w:lang w:val="nl-BE"/>
        </w:rPr>
        <w:t xml:space="preserve">4 aanvragen </w:t>
      </w:r>
    </w:p>
    <w:p w14:paraId="0F3BD40B" w14:textId="77777777" w:rsidR="00C534DF" w:rsidRPr="00515748" w:rsidRDefault="00C534DF" w:rsidP="00515748">
      <w:pPr>
        <w:pStyle w:val="Nummering"/>
        <w:numPr>
          <w:ilvl w:val="0"/>
          <w:numId w:val="0"/>
        </w:numPr>
        <w:spacing w:after="0"/>
        <w:ind w:left="787"/>
        <w:rPr>
          <w:szCs w:val="20"/>
          <w:lang w:val="nl-BE"/>
        </w:rPr>
      </w:pPr>
      <w:proofErr w:type="gramStart"/>
      <w:r w:rsidRPr="00515748">
        <w:rPr>
          <w:szCs w:val="20"/>
          <w:lang w:val="nl-BE"/>
        </w:rPr>
        <w:t>in</w:t>
      </w:r>
      <w:proofErr w:type="gramEnd"/>
      <w:r w:rsidRPr="00515748">
        <w:rPr>
          <w:szCs w:val="20"/>
          <w:lang w:val="nl-BE"/>
        </w:rPr>
        <w:t xml:space="preserve"> </w:t>
      </w:r>
      <w:r w:rsidR="006578B8" w:rsidRPr="00515748">
        <w:rPr>
          <w:szCs w:val="20"/>
          <w:lang w:val="nl-BE"/>
        </w:rPr>
        <w:t xml:space="preserve">2021 </w:t>
      </w:r>
      <w:r w:rsidRPr="00515748">
        <w:rPr>
          <w:szCs w:val="20"/>
          <w:lang w:val="nl-BE"/>
        </w:rPr>
        <w:tab/>
      </w:r>
      <w:r w:rsidR="00965663" w:rsidRPr="00515748">
        <w:rPr>
          <w:szCs w:val="20"/>
          <w:lang w:val="nl-BE"/>
        </w:rPr>
        <w:t xml:space="preserve">6 </w:t>
      </w:r>
      <w:r w:rsidR="006578B8" w:rsidRPr="00515748">
        <w:rPr>
          <w:szCs w:val="20"/>
          <w:lang w:val="nl-BE"/>
        </w:rPr>
        <w:t xml:space="preserve">aanvragen </w:t>
      </w:r>
    </w:p>
    <w:p w14:paraId="16C1D705" w14:textId="3152D2D5" w:rsidR="00017B39" w:rsidRPr="00515748" w:rsidRDefault="006578B8" w:rsidP="00515748">
      <w:pPr>
        <w:pStyle w:val="Nummering"/>
        <w:numPr>
          <w:ilvl w:val="0"/>
          <w:numId w:val="0"/>
        </w:numPr>
        <w:spacing w:after="0"/>
        <w:ind w:left="709"/>
        <w:rPr>
          <w:szCs w:val="20"/>
          <w:lang w:val="nl-BE"/>
        </w:rPr>
      </w:pPr>
      <w:proofErr w:type="gramStart"/>
      <w:r w:rsidRPr="00515748">
        <w:rPr>
          <w:szCs w:val="20"/>
          <w:lang w:val="nl-BE"/>
        </w:rPr>
        <w:lastRenderedPageBreak/>
        <w:t>in</w:t>
      </w:r>
      <w:proofErr w:type="gramEnd"/>
      <w:r w:rsidRPr="00515748">
        <w:rPr>
          <w:szCs w:val="20"/>
          <w:lang w:val="nl-BE"/>
        </w:rPr>
        <w:t xml:space="preserve"> 2022 </w:t>
      </w:r>
      <w:r w:rsidR="00C534DF" w:rsidRPr="00515748">
        <w:rPr>
          <w:szCs w:val="20"/>
          <w:lang w:val="nl-BE"/>
        </w:rPr>
        <w:tab/>
      </w:r>
      <w:r w:rsidR="00965663" w:rsidRPr="00515748">
        <w:rPr>
          <w:szCs w:val="20"/>
          <w:lang w:val="nl-BE"/>
        </w:rPr>
        <w:t>4</w:t>
      </w:r>
      <w:r w:rsidRPr="00515748">
        <w:rPr>
          <w:szCs w:val="20"/>
          <w:lang w:val="nl-BE"/>
        </w:rPr>
        <w:t xml:space="preserve"> aanvragen</w:t>
      </w:r>
    </w:p>
    <w:p w14:paraId="5B486398" w14:textId="77777777" w:rsidR="00FA048C" w:rsidRPr="00515748" w:rsidRDefault="002D41B8" w:rsidP="00515748">
      <w:pPr>
        <w:pStyle w:val="Nummering"/>
        <w:numPr>
          <w:ilvl w:val="0"/>
          <w:numId w:val="0"/>
        </w:numPr>
        <w:spacing w:after="0"/>
        <w:ind w:hanging="425"/>
        <w:rPr>
          <w:rFonts w:eastAsia="Verdana"/>
          <w:szCs w:val="20"/>
          <w:lang w:val="nl-BE"/>
        </w:rPr>
      </w:pPr>
      <w:r w:rsidRPr="00515748">
        <w:rPr>
          <w:rFonts w:eastAsia="Verdana"/>
          <w:szCs w:val="20"/>
          <w:lang w:val="nl-BE"/>
        </w:rPr>
        <w:tab/>
      </w:r>
    </w:p>
    <w:p w14:paraId="6FBB681A" w14:textId="057C417B" w:rsidR="00B10A38" w:rsidRPr="00515748" w:rsidRDefault="00893E07" w:rsidP="00515748">
      <w:pPr>
        <w:pStyle w:val="Nummering"/>
        <w:numPr>
          <w:ilvl w:val="0"/>
          <w:numId w:val="21"/>
        </w:numPr>
        <w:spacing w:after="0"/>
        <w:ind w:left="709" w:hanging="282"/>
        <w:rPr>
          <w:rFonts w:eastAsia="Verdana"/>
          <w:szCs w:val="20"/>
          <w:lang w:val="nl-BE"/>
        </w:rPr>
      </w:pPr>
      <w:r w:rsidRPr="00515748">
        <w:rPr>
          <w:szCs w:val="20"/>
          <w:lang w:val="nl-BE"/>
        </w:rPr>
        <w:t>Om de monitoring van bebouwing in signaalgebieden uit te voeren</w:t>
      </w:r>
      <w:r w:rsidR="00FA048C" w:rsidRPr="00515748">
        <w:rPr>
          <w:szCs w:val="20"/>
          <w:lang w:val="nl-BE"/>
        </w:rPr>
        <w:t>,</w:t>
      </w:r>
      <w:r w:rsidRPr="00515748">
        <w:rPr>
          <w:szCs w:val="20"/>
          <w:lang w:val="nl-BE"/>
        </w:rPr>
        <w:t xml:space="preserve"> wordt gebruik</w:t>
      </w:r>
      <w:r w:rsidR="00981C06" w:rsidRPr="00515748">
        <w:rPr>
          <w:szCs w:val="20"/>
          <w:lang w:val="nl-BE"/>
        </w:rPr>
        <w:t xml:space="preserve"> gemaakt </w:t>
      </w:r>
      <w:r w:rsidRPr="00515748">
        <w:rPr>
          <w:szCs w:val="20"/>
          <w:lang w:val="nl-BE"/>
        </w:rPr>
        <w:t>van het Grootschalig Referentiebestand Vlaanderen (GRB) met volgende snapshots 20180204, 20190207, 20200105, 20210301, 20220221. Deze basisbestanden bestaande uit hoofdgebouwen, bijgebouwen en gebouwen met virtuele gevels werden geconfronteerd met de contouren van signaalgebieden. In bijgevoegd overzicht</w:t>
      </w:r>
      <w:r w:rsidR="00780FAB" w:rsidRPr="00515748">
        <w:rPr>
          <w:szCs w:val="20"/>
          <w:lang w:val="nl-BE"/>
        </w:rPr>
        <w:t xml:space="preserve"> </w:t>
      </w:r>
      <w:r w:rsidR="00981C06" w:rsidRPr="00515748">
        <w:rPr>
          <w:szCs w:val="20"/>
          <w:lang w:val="nl-BE"/>
        </w:rPr>
        <w:t>in bijlage</w:t>
      </w:r>
      <w:r w:rsidRPr="00515748">
        <w:rPr>
          <w:szCs w:val="20"/>
          <w:lang w:val="nl-BE"/>
        </w:rPr>
        <w:t xml:space="preserve"> vindt u e</w:t>
      </w:r>
      <w:r w:rsidRPr="00515748">
        <w:rPr>
          <w:rFonts w:eastAsia="Verdana"/>
          <w:szCs w:val="20"/>
          <w:lang w:val="nl-BE"/>
        </w:rPr>
        <w:t>en overzicht van de bebouwing in de signaalgebieden</w:t>
      </w:r>
      <w:r w:rsidR="00780FAB" w:rsidRPr="00515748">
        <w:rPr>
          <w:rFonts w:eastAsia="Verdana"/>
          <w:szCs w:val="20"/>
          <w:lang w:val="nl-BE"/>
        </w:rPr>
        <w:t xml:space="preserve"> in de periode 2018 tot en met 2022 per signaalgebied</w:t>
      </w:r>
      <w:r w:rsidRPr="00515748">
        <w:rPr>
          <w:rFonts w:eastAsia="Verdana"/>
          <w:szCs w:val="20"/>
          <w:lang w:val="nl-BE"/>
        </w:rPr>
        <w:t>.</w:t>
      </w:r>
      <w:r w:rsidR="00780FAB" w:rsidRPr="00515748">
        <w:rPr>
          <w:rFonts w:eastAsia="Verdana"/>
          <w:szCs w:val="20"/>
          <w:lang w:val="nl-BE"/>
        </w:rPr>
        <w:t xml:space="preserve"> </w:t>
      </w:r>
    </w:p>
    <w:p w14:paraId="210B216E" w14:textId="77777777" w:rsidR="00B10A38" w:rsidRPr="00515748" w:rsidRDefault="00B10A38" w:rsidP="00515748">
      <w:pPr>
        <w:pStyle w:val="Nummering"/>
        <w:numPr>
          <w:ilvl w:val="0"/>
          <w:numId w:val="0"/>
        </w:numPr>
        <w:spacing w:after="0"/>
        <w:rPr>
          <w:rFonts w:eastAsia="Verdana"/>
          <w:szCs w:val="20"/>
          <w:lang w:val="nl-BE"/>
        </w:rPr>
      </w:pPr>
    </w:p>
    <w:p w14:paraId="548CE379" w14:textId="2C0A3ECA" w:rsidR="002D41B8" w:rsidRPr="00515748" w:rsidRDefault="002D41B8" w:rsidP="00515748">
      <w:pPr>
        <w:pStyle w:val="Nummering"/>
        <w:numPr>
          <w:ilvl w:val="0"/>
          <w:numId w:val="19"/>
        </w:numPr>
        <w:spacing w:after="0"/>
        <w:ind w:left="426" w:hanging="426"/>
        <w:rPr>
          <w:rFonts w:eastAsia="Verdana"/>
          <w:szCs w:val="20"/>
          <w:lang w:val="nl-BE"/>
        </w:rPr>
      </w:pPr>
      <w:r w:rsidRPr="00515748">
        <w:rPr>
          <w:rFonts w:eastAsia="Verdana"/>
          <w:szCs w:val="20"/>
          <w:lang w:val="nl-BE"/>
        </w:rPr>
        <w:t xml:space="preserve">Er werd geraamd bij BO2023 dat het over te dragen saldo eind 2022 van het Rubiconfonds </w:t>
      </w:r>
      <w:proofErr w:type="gramStart"/>
      <w:r w:rsidRPr="00515748">
        <w:rPr>
          <w:rFonts w:eastAsia="Verdana"/>
          <w:szCs w:val="20"/>
          <w:lang w:val="nl-BE"/>
        </w:rPr>
        <w:t>circa</w:t>
      </w:r>
      <w:proofErr w:type="gramEnd"/>
      <w:r w:rsidRPr="00515748">
        <w:rPr>
          <w:rFonts w:eastAsia="Verdana"/>
          <w:szCs w:val="20"/>
          <w:lang w:val="nl-BE"/>
        </w:rPr>
        <w:t xml:space="preserve"> 59,6 </w:t>
      </w:r>
      <w:r w:rsidR="00B10A38" w:rsidRPr="00515748">
        <w:rPr>
          <w:rFonts w:eastAsia="Verdana"/>
          <w:szCs w:val="20"/>
          <w:lang w:val="nl-BE"/>
        </w:rPr>
        <w:t>miljoen</w:t>
      </w:r>
      <w:r w:rsidRPr="00515748">
        <w:rPr>
          <w:rFonts w:eastAsia="Verdana"/>
          <w:szCs w:val="20"/>
          <w:lang w:val="nl-BE"/>
        </w:rPr>
        <w:t xml:space="preserve"> euro zal bedragen</w:t>
      </w:r>
      <w:r w:rsidR="00C534DF" w:rsidRPr="00515748">
        <w:rPr>
          <w:rFonts w:eastAsia="Verdana"/>
          <w:szCs w:val="20"/>
          <w:lang w:val="nl-BE"/>
        </w:rPr>
        <w:t>.</w:t>
      </w:r>
    </w:p>
    <w:p w14:paraId="3BFF7D5D" w14:textId="77777777" w:rsidR="002D41B8" w:rsidRPr="00515748" w:rsidRDefault="002D41B8" w:rsidP="00515748">
      <w:pPr>
        <w:pStyle w:val="Nummering"/>
        <w:numPr>
          <w:ilvl w:val="0"/>
          <w:numId w:val="0"/>
        </w:numPr>
        <w:tabs>
          <w:tab w:val="left" w:pos="708"/>
        </w:tabs>
        <w:spacing w:after="0"/>
        <w:ind w:left="851" w:hanging="425"/>
        <w:rPr>
          <w:rFonts w:eastAsia="Verdana"/>
          <w:szCs w:val="20"/>
          <w:lang w:val="nl-BE"/>
        </w:rPr>
      </w:pPr>
      <w:r w:rsidRPr="00515748">
        <w:rPr>
          <w:rFonts w:eastAsia="Verdana"/>
          <w:szCs w:val="20"/>
          <w:lang w:val="nl-BE"/>
        </w:rPr>
        <w:t xml:space="preserve">De overdrachten op het einde van het begrotingsjaar zijn als volgt geëvolueerd: </w:t>
      </w:r>
    </w:p>
    <w:p w14:paraId="53791B8C" w14:textId="43053D4B" w:rsidR="002D41B8" w:rsidRPr="00515748" w:rsidRDefault="002D41B8" w:rsidP="00515748">
      <w:pPr>
        <w:pStyle w:val="Nummering"/>
        <w:numPr>
          <w:ilvl w:val="0"/>
          <w:numId w:val="22"/>
        </w:numPr>
        <w:tabs>
          <w:tab w:val="left" w:pos="708"/>
        </w:tabs>
        <w:spacing w:after="0"/>
        <w:rPr>
          <w:rFonts w:eastAsia="Verdana"/>
          <w:szCs w:val="20"/>
          <w:lang w:val="nl-BE"/>
        </w:rPr>
      </w:pPr>
      <w:r w:rsidRPr="00515748">
        <w:rPr>
          <w:rFonts w:eastAsia="Verdana"/>
          <w:szCs w:val="20"/>
          <w:lang w:val="nl-BE"/>
        </w:rPr>
        <w:t xml:space="preserve">Eind 2018: 6,9 </w:t>
      </w:r>
      <w:r w:rsidR="00964B42" w:rsidRPr="00515748">
        <w:rPr>
          <w:rFonts w:eastAsia="Verdana"/>
          <w:szCs w:val="20"/>
          <w:lang w:val="nl-BE"/>
        </w:rPr>
        <w:t>miljoen euro</w:t>
      </w:r>
    </w:p>
    <w:p w14:paraId="68229DA1" w14:textId="366B2D24" w:rsidR="002D41B8" w:rsidRPr="00515748" w:rsidRDefault="002D41B8" w:rsidP="00515748">
      <w:pPr>
        <w:pStyle w:val="Nummering"/>
        <w:numPr>
          <w:ilvl w:val="0"/>
          <w:numId w:val="22"/>
        </w:numPr>
        <w:tabs>
          <w:tab w:val="left" w:pos="708"/>
        </w:tabs>
        <w:spacing w:after="0"/>
        <w:rPr>
          <w:rFonts w:eastAsia="Verdana"/>
          <w:szCs w:val="20"/>
          <w:lang w:val="nl-BE"/>
        </w:rPr>
      </w:pPr>
      <w:r w:rsidRPr="00515748">
        <w:rPr>
          <w:rFonts w:eastAsia="Verdana"/>
          <w:szCs w:val="20"/>
          <w:lang w:val="nl-BE"/>
        </w:rPr>
        <w:t xml:space="preserve">Eind 2019: 11,8 </w:t>
      </w:r>
      <w:r w:rsidR="00964B42" w:rsidRPr="00515748">
        <w:rPr>
          <w:rFonts w:eastAsia="Verdana"/>
          <w:szCs w:val="20"/>
          <w:lang w:val="nl-BE"/>
        </w:rPr>
        <w:t>miljoen euro</w:t>
      </w:r>
    </w:p>
    <w:p w14:paraId="1306062D" w14:textId="66BA7571" w:rsidR="002D41B8" w:rsidRPr="00515748" w:rsidRDefault="002D41B8" w:rsidP="00515748">
      <w:pPr>
        <w:pStyle w:val="Nummering"/>
        <w:numPr>
          <w:ilvl w:val="0"/>
          <w:numId w:val="22"/>
        </w:numPr>
        <w:tabs>
          <w:tab w:val="left" w:pos="708"/>
        </w:tabs>
        <w:spacing w:after="0"/>
        <w:rPr>
          <w:rFonts w:eastAsia="Verdana"/>
          <w:szCs w:val="20"/>
          <w:lang w:val="nl-BE"/>
        </w:rPr>
      </w:pPr>
      <w:r w:rsidRPr="00515748">
        <w:rPr>
          <w:rFonts w:eastAsia="Verdana"/>
          <w:szCs w:val="20"/>
          <w:lang w:val="nl-BE"/>
        </w:rPr>
        <w:t>Eind 2020: 22</w:t>
      </w:r>
      <w:r w:rsidR="00964B42" w:rsidRPr="00515748">
        <w:rPr>
          <w:rFonts w:eastAsia="Verdana"/>
          <w:szCs w:val="20"/>
          <w:lang w:val="nl-BE"/>
        </w:rPr>
        <w:t>,</w:t>
      </w:r>
      <w:r w:rsidRPr="00515748">
        <w:rPr>
          <w:rFonts w:eastAsia="Verdana"/>
          <w:szCs w:val="20"/>
          <w:lang w:val="nl-BE"/>
        </w:rPr>
        <w:t xml:space="preserve">0 </w:t>
      </w:r>
      <w:r w:rsidR="00964B42" w:rsidRPr="00515748">
        <w:rPr>
          <w:rFonts w:eastAsia="Verdana"/>
          <w:szCs w:val="20"/>
          <w:lang w:val="nl-BE"/>
        </w:rPr>
        <w:t>miljoen euro</w:t>
      </w:r>
    </w:p>
    <w:p w14:paraId="6927BA45" w14:textId="296A6324" w:rsidR="002D41B8" w:rsidRPr="00515748" w:rsidRDefault="002D41B8" w:rsidP="00515748">
      <w:pPr>
        <w:pStyle w:val="Nummering"/>
        <w:numPr>
          <w:ilvl w:val="0"/>
          <w:numId w:val="22"/>
        </w:numPr>
        <w:tabs>
          <w:tab w:val="left" w:pos="708"/>
        </w:tabs>
        <w:spacing w:after="0"/>
        <w:rPr>
          <w:rFonts w:eastAsia="Verdana"/>
          <w:szCs w:val="20"/>
          <w:lang w:val="nl-BE"/>
        </w:rPr>
      </w:pPr>
      <w:r w:rsidRPr="00515748">
        <w:rPr>
          <w:rFonts w:eastAsia="Verdana"/>
          <w:szCs w:val="20"/>
          <w:lang w:val="nl-BE"/>
        </w:rPr>
        <w:t xml:space="preserve">Eind 2021: 42,9 </w:t>
      </w:r>
      <w:r w:rsidR="00964B42" w:rsidRPr="00515748">
        <w:rPr>
          <w:rFonts w:eastAsia="Verdana"/>
          <w:szCs w:val="20"/>
          <w:lang w:val="nl-BE"/>
        </w:rPr>
        <w:t>miljoen euro</w:t>
      </w:r>
    </w:p>
    <w:p w14:paraId="4161114A" w14:textId="1C10FAB1" w:rsidR="002D41B8" w:rsidRPr="00515748" w:rsidRDefault="002D41B8" w:rsidP="00515748">
      <w:pPr>
        <w:pStyle w:val="Nummering"/>
        <w:numPr>
          <w:ilvl w:val="0"/>
          <w:numId w:val="22"/>
        </w:numPr>
        <w:tabs>
          <w:tab w:val="left" w:pos="708"/>
        </w:tabs>
        <w:spacing w:after="0"/>
        <w:rPr>
          <w:rFonts w:eastAsia="Verdana"/>
          <w:szCs w:val="20"/>
          <w:lang w:val="nl-BE"/>
        </w:rPr>
      </w:pPr>
      <w:r w:rsidRPr="00515748">
        <w:rPr>
          <w:rFonts w:eastAsia="Verdana"/>
          <w:szCs w:val="20"/>
          <w:lang w:val="nl-BE"/>
        </w:rPr>
        <w:t>Eind 2022 (raming): 59</w:t>
      </w:r>
      <w:r w:rsidR="00964B42" w:rsidRPr="00515748">
        <w:rPr>
          <w:rFonts w:eastAsia="Verdana"/>
          <w:szCs w:val="20"/>
          <w:lang w:val="nl-BE"/>
        </w:rPr>
        <w:t>,</w:t>
      </w:r>
      <w:r w:rsidRPr="00515748">
        <w:rPr>
          <w:rFonts w:eastAsia="Verdana"/>
          <w:szCs w:val="20"/>
          <w:lang w:val="nl-BE"/>
        </w:rPr>
        <w:t xml:space="preserve">6 </w:t>
      </w:r>
      <w:r w:rsidR="00964B42" w:rsidRPr="00515748">
        <w:rPr>
          <w:rFonts w:eastAsia="Verdana"/>
          <w:szCs w:val="20"/>
          <w:lang w:val="nl-BE"/>
        </w:rPr>
        <w:t>miljoen euro</w:t>
      </w:r>
    </w:p>
    <w:p w14:paraId="0ABFD8C7" w14:textId="7CEBF200" w:rsidR="002D41B8" w:rsidRPr="00515748" w:rsidRDefault="002D41B8" w:rsidP="00515748">
      <w:pPr>
        <w:pStyle w:val="Nummering"/>
        <w:numPr>
          <w:ilvl w:val="0"/>
          <w:numId w:val="0"/>
        </w:numPr>
        <w:tabs>
          <w:tab w:val="left" w:pos="708"/>
        </w:tabs>
        <w:spacing w:after="0"/>
        <w:rPr>
          <w:rFonts w:eastAsia="Verdana"/>
          <w:szCs w:val="20"/>
          <w:lang w:val="nl-BE"/>
        </w:rPr>
      </w:pPr>
    </w:p>
    <w:p w14:paraId="65ED6381" w14:textId="39BA6729" w:rsidR="00017B39" w:rsidRPr="00515748" w:rsidRDefault="002D41B8" w:rsidP="00515748">
      <w:pPr>
        <w:pStyle w:val="Nummering"/>
        <w:numPr>
          <w:ilvl w:val="0"/>
          <w:numId w:val="19"/>
        </w:numPr>
        <w:tabs>
          <w:tab w:val="left" w:pos="426"/>
        </w:tabs>
        <w:spacing w:after="0"/>
        <w:ind w:left="426" w:hanging="426"/>
        <w:rPr>
          <w:rFonts w:eastAsia="Verdana"/>
          <w:szCs w:val="20"/>
          <w:lang w:val="nl-BE"/>
        </w:rPr>
      </w:pPr>
      <w:r w:rsidRPr="00515748">
        <w:rPr>
          <w:rFonts w:eastAsia="Verdana"/>
          <w:szCs w:val="20"/>
          <w:lang w:val="nl-BE"/>
        </w:rPr>
        <w:t xml:space="preserve">Hoewel er </w:t>
      </w:r>
      <w:proofErr w:type="gramStart"/>
      <w:r w:rsidRPr="00515748">
        <w:rPr>
          <w:rFonts w:eastAsia="Verdana"/>
          <w:szCs w:val="20"/>
          <w:lang w:val="nl-BE"/>
        </w:rPr>
        <w:t>reeds</w:t>
      </w:r>
      <w:proofErr w:type="gramEnd"/>
      <w:r w:rsidRPr="00515748">
        <w:rPr>
          <w:rFonts w:eastAsia="Verdana"/>
          <w:szCs w:val="20"/>
          <w:lang w:val="nl-BE"/>
        </w:rPr>
        <w:t xml:space="preserve"> in meer dan 30 signaalgebieden gemeentelijke en provinciale </w:t>
      </w:r>
      <w:proofErr w:type="spellStart"/>
      <w:r w:rsidRPr="00515748">
        <w:rPr>
          <w:rFonts w:eastAsia="Verdana"/>
          <w:szCs w:val="20"/>
          <w:lang w:val="nl-BE"/>
        </w:rPr>
        <w:t>RUP’s</w:t>
      </w:r>
      <w:proofErr w:type="spellEnd"/>
      <w:r w:rsidRPr="00515748">
        <w:rPr>
          <w:rFonts w:eastAsia="Verdana"/>
          <w:szCs w:val="20"/>
          <w:lang w:val="nl-BE"/>
        </w:rPr>
        <w:t xml:space="preserve"> werden goedgekeurd met herbestemming naar open ruimte, werden nog geen aanvragen voor vergoeding van planschade ontvangen. We hebben geen zicht of er bij de lokale besturen al vorderingen voor planschade lopen voor die plannen.</w:t>
      </w:r>
    </w:p>
    <w:p w14:paraId="3DC4D84F" w14:textId="36F0F001" w:rsidR="00867EC1" w:rsidRDefault="00867EC1" w:rsidP="00515748">
      <w:pPr>
        <w:pStyle w:val="Nummering"/>
        <w:numPr>
          <w:ilvl w:val="0"/>
          <w:numId w:val="0"/>
        </w:numPr>
        <w:tabs>
          <w:tab w:val="left" w:pos="708"/>
        </w:tabs>
        <w:spacing w:after="0"/>
        <w:rPr>
          <w:rFonts w:eastAsia="Verdana"/>
          <w:szCs w:val="20"/>
          <w:lang w:val="nl-BE"/>
        </w:rPr>
      </w:pPr>
    </w:p>
    <w:p w14:paraId="54342350" w14:textId="77777777" w:rsidR="00515748" w:rsidRPr="00515748" w:rsidRDefault="00515748" w:rsidP="00515748">
      <w:pPr>
        <w:pStyle w:val="Nummering"/>
        <w:numPr>
          <w:ilvl w:val="0"/>
          <w:numId w:val="0"/>
        </w:numPr>
        <w:tabs>
          <w:tab w:val="left" w:pos="708"/>
        </w:tabs>
        <w:spacing w:after="0"/>
        <w:rPr>
          <w:rFonts w:eastAsia="Verdana"/>
          <w:szCs w:val="20"/>
          <w:lang w:val="nl-BE"/>
        </w:rPr>
      </w:pPr>
    </w:p>
    <w:p w14:paraId="6052B7C6" w14:textId="6F3BA2CE" w:rsidR="00867EC1" w:rsidRPr="00515748" w:rsidRDefault="00867EC1" w:rsidP="00515748">
      <w:pPr>
        <w:jc w:val="both"/>
        <w:outlineLvl w:val="0"/>
        <w:rPr>
          <w:rFonts w:ascii="Verdana" w:hAnsi="Verdana"/>
          <w:b/>
          <w:smallCaps/>
          <w:color w:val="FF0000"/>
          <w:spacing w:val="-3"/>
          <w:sz w:val="20"/>
          <w:szCs w:val="20"/>
          <w:u w:val="single"/>
        </w:rPr>
      </w:pPr>
      <w:r w:rsidRPr="00515748">
        <w:rPr>
          <w:rFonts w:ascii="Verdana" w:hAnsi="Verdana"/>
          <w:b/>
          <w:smallCaps/>
          <w:color w:val="FF0000"/>
          <w:spacing w:val="-3"/>
          <w:sz w:val="20"/>
          <w:szCs w:val="20"/>
          <w:u w:val="single"/>
        </w:rPr>
        <w:t>bijlage</w:t>
      </w:r>
    </w:p>
    <w:p w14:paraId="0A957ED5" w14:textId="77777777" w:rsidR="00515748" w:rsidRDefault="00515748" w:rsidP="00515748">
      <w:pPr>
        <w:tabs>
          <w:tab w:val="left" w:pos="708"/>
        </w:tabs>
        <w:jc w:val="both"/>
        <w:rPr>
          <w:rFonts w:ascii="Verdana" w:eastAsiaTheme="minorHAnsi" w:hAnsi="Verdana" w:cstheme="minorBidi"/>
          <w:sz w:val="20"/>
          <w:szCs w:val="20"/>
          <w:lang w:val="nl-BE"/>
        </w:rPr>
      </w:pPr>
    </w:p>
    <w:p w14:paraId="2AFF9BF9" w14:textId="26EB62EF" w:rsidR="00867EC1" w:rsidRPr="00515748" w:rsidRDefault="00D400A7" w:rsidP="00515748">
      <w:pPr>
        <w:tabs>
          <w:tab w:val="left" w:pos="708"/>
        </w:tabs>
        <w:jc w:val="both"/>
        <w:rPr>
          <w:rFonts w:ascii="Verdana" w:eastAsiaTheme="minorHAnsi" w:hAnsi="Verdana" w:cstheme="minorBidi"/>
          <w:sz w:val="20"/>
          <w:szCs w:val="20"/>
          <w:lang w:val="nl-BE"/>
        </w:rPr>
      </w:pPr>
      <w:hyperlink r:id="rId18" w:history="1">
        <w:r w:rsidR="00867EC1" w:rsidRPr="00D400A7">
          <w:rPr>
            <w:rStyle w:val="Hyperlink"/>
            <w:rFonts w:ascii="Verdana" w:eastAsiaTheme="minorHAnsi" w:hAnsi="Verdana" w:cstheme="minorBidi"/>
            <w:sz w:val="20"/>
            <w:szCs w:val="20"/>
            <w:lang w:val="nl-BE"/>
          </w:rPr>
          <w:t>Overzicht van de bebouwing in de signaalgebieden in de periode 2018 tot en met 2022 per signaalgebied</w:t>
        </w:r>
      </w:hyperlink>
    </w:p>
    <w:sectPr w:rsidR="00867EC1" w:rsidRPr="00515748" w:rsidSect="005040C5">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1B65" w14:textId="77777777" w:rsidR="00F0059A" w:rsidRDefault="00F0059A" w:rsidP="00E67886">
      <w:r>
        <w:separator/>
      </w:r>
    </w:p>
  </w:endnote>
  <w:endnote w:type="continuationSeparator" w:id="0">
    <w:p w14:paraId="72F144F5" w14:textId="77777777" w:rsidR="00F0059A" w:rsidRDefault="00F0059A" w:rsidP="00E6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9C24" w14:textId="77777777" w:rsidR="00E67886" w:rsidRDefault="00E678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4FA1" w14:textId="77777777" w:rsidR="00E67886" w:rsidRDefault="00E678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4E5" w14:textId="77777777" w:rsidR="00E67886" w:rsidRDefault="00E678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9BF8" w14:textId="77777777" w:rsidR="00F0059A" w:rsidRDefault="00F0059A" w:rsidP="00E67886">
      <w:r>
        <w:separator/>
      </w:r>
    </w:p>
  </w:footnote>
  <w:footnote w:type="continuationSeparator" w:id="0">
    <w:p w14:paraId="5447F205" w14:textId="77777777" w:rsidR="00F0059A" w:rsidRDefault="00F0059A" w:rsidP="00E6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4169" w14:textId="77777777" w:rsidR="00E67886" w:rsidRDefault="00E678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BE30" w14:textId="77777777" w:rsidR="00E67886" w:rsidRDefault="00E678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F15B" w14:textId="77777777" w:rsidR="00E67886" w:rsidRDefault="00E678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BD6"/>
    <w:multiLevelType w:val="hybridMultilevel"/>
    <w:tmpl w:val="B7189EFE"/>
    <w:lvl w:ilvl="0" w:tplc="46FA7BB8">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F14D4B"/>
    <w:multiLevelType w:val="hybridMultilevel"/>
    <w:tmpl w:val="5EC8760C"/>
    <w:lvl w:ilvl="0" w:tplc="3AD0C93A">
      <w:start w:val="1"/>
      <w:numFmt w:val="lowerLetter"/>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 w15:restartNumberingAfterBreak="0">
    <w:nsid w:val="2FE3514B"/>
    <w:multiLevelType w:val="hybridMultilevel"/>
    <w:tmpl w:val="5ECC22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0323682"/>
    <w:multiLevelType w:val="multilevel"/>
    <w:tmpl w:val="F066286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2"/>
        </w:tabs>
        <w:ind w:left="852" w:hanging="426"/>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25FC5"/>
    <w:multiLevelType w:val="hybridMultilevel"/>
    <w:tmpl w:val="CBB46DAA"/>
    <w:lvl w:ilvl="0" w:tplc="46FA7BB8">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98E3AC8"/>
    <w:multiLevelType w:val="hybridMultilevel"/>
    <w:tmpl w:val="9FA634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D76A0C"/>
    <w:multiLevelType w:val="hybridMultilevel"/>
    <w:tmpl w:val="4DE00BB2"/>
    <w:lvl w:ilvl="0" w:tplc="08130001">
      <w:start w:val="1"/>
      <w:numFmt w:val="bullet"/>
      <w:lvlText w:val=""/>
      <w:lvlJc w:val="left"/>
      <w:pPr>
        <w:ind w:left="1003" w:hanging="360"/>
      </w:pPr>
      <w:rPr>
        <w:rFonts w:ascii="Symbol" w:hAnsi="Symbo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8"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9BE3BBD"/>
    <w:multiLevelType w:val="hybridMultilevel"/>
    <w:tmpl w:val="27FC609E"/>
    <w:lvl w:ilvl="0" w:tplc="08130017">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0" w15:restartNumberingAfterBreak="0">
    <w:nsid w:val="604A5240"/>
    <w:multiLevelType w:val="hybridMultilevel"/>
    <w:tmpl w:val="58C03662"/>
    <w:lvl w:ilvl="0" w:tplc="D1A6753C">
      <w:start w:val="1"/>
      <w:numFmt w:val="decimal"/>
      <w:lvlText w:val="%1."/>
      <w:lvlJc w:val="left"/>
      <w:pPr>
        <w:ind w:left="360" w:hanging="360"/>
      </w:pPr>
      <w:rPr>
        <w:rFonts w:ascii="Verdana" w:eastAsia="Verdana" w:hAnsi="Verdana" w:cs="Verdana" w:hint="default"/>
        <w:sz w:val="20"/>
      </w:rPr>
    </w:lvl>
    <w:lvl w:ilvl="1" w:tplc="08130017">
      <w:start w:val="1"/>
      <w:numFmt w:val="lowerLetter"/>
      <w:lvlText w:val="%2)"/>
      <w:lvlJc w:val="left"/>
      <w:pPr>
        <w:ind w:left="1080" w:hanging="360"/>
      </w:pPr>
      <w:rPr>
        <w:sz w:val="20"/>
      </w:rPr>
    </w:lvl>
    <w:lvl w:ilvl="2" w:tplc="A12E1304">
      <w:start w:val="1"/>
      <w:numFmt w:val="lowerRoman"/>
      <w:lvlText w:val="%3."/>
      <w:lvlJc w:val="right"/>
      <w:pPr>
        <w:ind w:left="1800" w:hanging="180"/>
      </w:pPr>
      <w:rPr>
        <w:rFonts w:ascii="Verdana" w:eastAsia="Verdana" w:hAnsi="Verdana" w:cs="Verdana"/>
        <w:sz w:val="20"/>
      </w:rPr>
    </w:lvl>
    <w:lvl w:ilvl="3" w:tplc="E6D40BF8">
      <w:start w:val="1"/>
      <w:numFmt w:val="decimal"/>
      <w:lvlText w:val="%4."/>
      <w:lvlJc w:val="left"/>
      <w:pPr>
        <w:ind w:left="2520" w:hanging="360"/>
      </w:pPr>
      <w:rPr>
        <w:rFonts w:ascii="Verdana" w:eastAsia="Verdana" w:hAnsi="Verdana" w:cs="Verdana"/>
        <w:sz w:val="20"/>
      </w:rPr>
    </w:lvl>
    <w:lvl w:ilvl="4" w:tplc="AB765690">
      <w:start w:val="1"/>
      <w:numFmt w:val="lowerLetter"/>
      <w:lvlText w:val="%5."/>
      <w:lvlJc w:val="left"/>
      <w:pPr>
        <w:ind w:left="3240" w:hanging="360"/>
      </w:pPr>
      <w:rPr>
        <w:rFonts w:ascii="Verdana" w:eastAsia="Verdana" w:hAnsi="Verdana" w:cs="Verdana"/>
        <w:sz w:val="20"/>
      </w:rPr>
    </w:lvl>
    <w:lvl w:ilvl="5" w:tplc="3590581A">
      <w:start w:val="1"/>
      <w:numFmt w:val="lowerRoman"/>
      <w:lvlText w:val="%6."/>
      <w:lvlJc w:val="right"/>
      <w:pPr>
        <w:ind w:left="3960" w:hanging="180"/>
      </w:pPr>
      <w:rPr>
        <w:rFonts w:ascii="Verdana" w:eastAsia="Verdana" w:hAnsi="Verdana" w:cs="Verdana"/>
        <w:sz w:val="20"/>
      </w:rPr>
    </w:lvl>
    <w:lvl w:ilvl="6" w:tplc="68C2465A">
      <w:start w:val="1"/>
      <w:numFmt w:val="decimal"/>
      <w:lvlText w:val="%7."/>
      <w:lvlJc w:val="left"/>
      <w:pPr>
        <w:ind w:left="4680" w:hanging="360"/>
      </w:pPr>
      <w:rPr>
        <w:rFonts w:ascii="Verdana" w:eastAsia="Verdana" w:hAnsi="Verdana" w:cs="Verdana"/>
        <w:sz w:val="20"/>
      </w:rPr>
    </w:lvl>
    <w:lvl w:ilvl="7" w:tplc="4506721A">
      <w:start w:val="1"/>
      <w:numFmt w:val="lowerLetter"/>
      <w:lvlText w:val="%8."/>
      <w:lvlJc w:val="left"/>
      <w:pPr>
        <w:ind w:left="5400" w:hanging="360"/>
      </w:pPr>
      <w:rPr>
        <w:rFonts w:ascii="Verdana" w:eastAsia="Verdana" w:hAnsi="Verdana" w:cs="Verdana"/>
        <w:sz w:val="20"/>
      </w:rPr>
    </w:lvl>
    <w:lvl w:ilvl="8" w:tplc="C89E0CDC">
      <w:start w:val="1"/>
      <w:numFmt w:val="lowerRoman"/>
      <w:lvlText w:val="%9."/>
      <w:lvlJc w:val="right"/>
      <w:pPr>
        <w:ind w:left="6120" w:hanging="180"/>
      </w:pPr>
      <w:rPr>
        <w:rFonts w:ascii="Verdana" w:eastAsia="Verdana" w:hAnsi="Verdana" w:cs="Verdana"/>
        <w:sz w:val="20"/>
      </w:rPr>
    </w:lvl>
  </w:abstractNum>
  <w:abstractNum w:abstractNumId="11"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2" w15:restartNumberingAfterBreak="0">
    <w:nsid w:val="64B076D5"/>
    <w:multiLevelType w:val="hybridMultilevel"/>
    <w:tmpl w:val="4704FA42"/>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3" w15:restartNumberingAfterBreak="0">
    <w:nsid w:val="66CE4C96"/>
    <w:multiLevelType w:val="hybridMultilevel"/>
    <w:tmpl w:val="2B363E78"/>
    <w:lvl w:ilvl="0" w:tplc="67C0AFB4">
      <w:start w:val="3"/>
      <w:numFmt w:val="lowerLetter"/>
      <w:lvlText w:val="%1)"/>
      <w:lvlJc w:val="left"/>
      <w:pPr>
        <w:ind w:left="787" w:hanging="360"/>
      </w:pPr>
      <w:rPr>
        <w:rFonts w:hint="default"/>
      </w:rPr>
    </w:lvl>
    <w:lvl w:ilvl="1" w:tplc="08130019" w:tentative="1">
      <w:start w:val="1"/>
      <w:numFmt w:val="lowerLetter"/>
      <w:lvlText w:val="%2."/>
      <w:lvlJc w:val="left"/>
      <w:pPr>
        <w:ind w:left="1507" w:hanging="360"/>
      </w:pPr>
    </w:lvl>
    <w:lvl w:ilvl="2" w:tplc="0813001B" w:tentative="1">
      <w:start w:val="1"/>
      <w:numFmt w:val="lowerRoman"/>
      <w:lvlText w:val="%3."/>
      <w:lvlJc w:val="right"/>
      <w:pPr>
        <w:ind w:left="2227" w:hanging="180"/>
      </w:pPr>
    </w:lvl>
    <w:lvl w:ilvl="3" w:tplc="0813000F" w:tentative="1">
      <w:start w:val="1"/>
      <w:numFmt w:val="decimal"/>
      <w:lvlText w:val="%4."/>
      <w:lvlJc w:val="left"/>
      <w:pPr>
        <w:ind w:left="2947" w:hanging="360"/>
      </w:pPr>
    </w:lvl>
    <w:lvl w:ilvl="4" w:tplc="08130019" w:tentative="1">
      <w:start w:val="1"/>
      <w:numFmt w:val="lowerLetter"/>
      <w:lvlText w:val="%5."/>
      <w:lvlJc w:val="left"/>
      <w:pPr>
        <w:ind w:left="3667" w:hanging="360"/>
      </w:pPr>
    </w:lvl>
    <w:lvl w:ilvl="5" w:tplc="0813001B" w:tentative="1">
      <w:start w:val="1"/>
      <w:numFmt w:val="lowerRoman"/>
      <w:lvlText w:val="%6."/>
      <w:lvlJc w:val="right"/>
      <w:pPr>
        <w:ind w:left="4387" w:hanging="180"/>
      </w:pPr>
    </w:lvl>
    <w:lvl w:ilvl="6" w:tplc="0813000F" w:tentative="1">
      <w:start w:val="1"/>
      <w:numFmt w:val="decimal"/>
      <w:lvlText w:val="%7."/>
      <w:lvlJc w:val="left"/>
      <w:pPr>
        <w:ind w:left="5107" w:hanging="360"/>
      </w:pPr>
    </w:lvl>
    <w:lvl w:ilvl="7" w:tplc="08130019" w:tentative="1">
      <w:start w:val="1"/>
      <w:numFmt w:val="lowerLetter"/>
      <w:lvlText w:val="%8."/>
      <w:lvlJc w:val="left"/>
      <w:pPr>
        <w:ind w:left="5827" w:hanging="360"/>
      </w:pPr>
    </w:lvl>
    <w:lvl w:ilvl="8" w:tplc="0813001B" w:tentative="1">
      <w:start w:val="1"/>
      <w:numFmt w:val="lowerRoman"/>
      <w:lvlText w:val="%9."/>
      <w:lvlJc w:val="right"/>
      <w:pPr>
        <w:ind w:left="6547" w:hanging="180"/>
      </w:pPr>
    </w:lvl>
  </w:abstractNum>
  <w:num w:numId="1" w16cid:durableId="419065380">
    <w:abstractNumId w:val="11"/>
  </w:num>
  <w:num w:numId="2" w16cid:durableId="1279992592">
    <w:abstractNumId w:val="11"/>
  </w:num>
  <w:num w:numId="3" w16cid:durableId="1846899591">
    <w:abstractNumId w:val="1"/>
  </w:num>
  <w:num w:numId="4" w16cid:durableId="2097899373">
    <w:abstractNumId w:val="8"/>
  </w:num>
  <w:num w:numId="5" w16cid:durableId="1033074789">
    <w:abstractNumId w:val="6"/>
  </w:num>
  <w:num w:numId="6" w16cid:durableId="1182205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75955">
    <w:abstractNumId w:val="3"/>
  </w:num>
  <w:num w:numId="8" w16cid:durableId="2004772726">
    <w:abstractNumId w:val="4"/>
  </w:num>
  <w:num w:numId="9" w16cid:durableId="534462593">
    <w:abstractNumId w:val="4"/>
  </w:num>
  <w:num w:numId="10" w16cid:durableId="55203339">
    <w:abstractNumId w:val="10"/>
  </w:num>
  <w:num w:numId="11" w16cid:durableId="1847328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621993">
    <w:abstractNumId w:val="4"/>
  </w:num>
  <w:num w:numId="13" w16cid:durableId="961038793">
    <w:abstractNumId w:val="2"/>
  </w:num>
  <w:num w:numId="14" w16cid:durableId="60103707">
    <w:abstractNumId w:val="4"/>
  </w:num>
  <w:num w:numId="15" w16cid:durableId="764426564">
    <w:abstractNumId w:val="4"/>
    <w:lvlOverride w:ilvl="0">
      <w:startOverride w:val="1"/>
    </w:lvlOverride>
    <w:lvlOverride w:ilvl="1">
      <w:startOverride w:val="4"/>
    </w:lvlOverride>
  </w:num>
  <w:num w:numId="16" w16cid:durableId="602031719">
    <w:abstractNumId w:val="4"/>
    <w:lvlOverride w:ilvl="0">
      <w:startOverride w:val="1"/>
    </w:lvlOverride>
    <w:lvlOverride w:ilvl="1">
      <w:startOverride w:val="4"/>
    </w:lvlOverride>
  </w:num>
  <w:num w:numId="17" w16cid:durableId="1943150910">
    <w:abstractNumId w:val="9"/>
  </w:num>
  <w:num w:numId="18" w16cid:durableId="1608393926">
    <w:abstractNumId w:val="4"/>
    <w:lvlOverride w:ilvl="0">
      <w:startOverride w:val="1"/>
    </w:lvlOverride>
    <w:lvlOverride w:ilvl="1">
      <w:startOverride w:val="3"/>
    </w:lvlOverride>
  </w:num>
  <w:num w:numId="19" w16cid:durableId="1508667062">
    <w:abstractNumId w:val="0"/>
  </w:num>
  <w:num w:numId="20" w16cid:durableId="1094286446">
    <w:abstractNumId w:val="7"/>
  </w:num>
  <w:num w:numId="21" w16cid:durableId="1488545729">
    <w:abstractNumId w:val="13"/>
  </w:num>
  <w:num w:numId="22" w16cid:durableId="1088843456">
    <w:abstractNumId w:val="12"/>
  </w:num>
  <w:num w:numId="23" w16cid:durableId="1578588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40"/>
    <w:rsid w:val="00017B39"/>
    <w:rsid w:val="00025E65"/>
    <w:rsid w:val="000372BF"/>
    <w:rsid w:val="000551F3"/>
    <w:rsid w:val="00056D89"/>
    <w:rsid w:val="00074414"/>
    <w:rsid w:val="000976E9"/>
    <w:rsid w:val="000C4E8C"/>
    <w:rsid w:val="000D30CD"/>
    <w:rsid w:val="000F3532"/>
    <w:rsid w:val="00100279"/>
    <w:rsid w:val="001C7994"/>
    <w:rsid w:val="001E2440"/>
    <w:rsid w:val="00201FDB"/>
    <w:rsid w:val="00210C07"/>
    <w:rsid w:val="002346BF"/>
    <w:rsid w:val="00270FBC"/>
    <w:rsid w:val="00285CF5"/>
    <w:rsid w:val="002D41B8"/>
    <w:rsid w:val="00301372"/>
    <w:rsid w:val="00320BCE"/>
    <w:rsid w:val="00326A58"/>
    <w:rsid w:val="003422F0"/>
    <w:rsid w:val="003467D7"/>
    <w:rsid w:val="0037708C"/>
    <w:rsid w:val="003A470F"/>
    <w:rsid w:val="003C27EE"/>
    <w:rsid w:val="003D1758"/>
    <w:rsid w:val="003F5248"/>
    <w:rsid w:val="00456F48"/>
    <w:rsid w:val="00475806"/>
    <w:rsid w:val="004A14F0"/>
    <w:rsid w:val="004A6EFF"/>
    <w:rsid w:val="004F124F"/>
    <w:rsid w:val="00515748"/>
    <w:rsid w:val="0056360C"/>
    <w:rsid w:val="005D5073"/>
    <w:rsid w:val="005E1766"/>
    <w:rsid w:val="005E38CA"/>
    <w:rsid w:val="006563FB"/>
    <w:rsid w:val="006578B8"/>
    <w:rsid w:val="0069528B"/>
    <w:rsid w:val="006A3D64"/>
    <w:rsid w:val="0071248C"/>
    <w:rsid w:val="007252C7"/>
    <w:rsid w:val="007426B1"/>
    <w:rsid w:val="0075030D"/>
    <w:rsid w:val="00780FAB"/>
    <w:rsid w:val="007C07F4"/>
    <w:rsid w:val="00867EC1"/>
    <w:rsid w:val="00893E07"/>
    <w:rsid w:val="008B102E"/>
    <w:rsid w:val="008B19D5"/>
    <w:rsid w:val="008B7782"/>
    <w:rsid w:val="008D042A"/>
    <w:rsid w:val="008D1BFB"/>
    <w:rsid w:val="008D5DB4"/>
    <w:rsid w:val="00932B48"/>
    <w:rsid w:val="009347E0"/>
    <w:rsid w:val="00964B42"/>
    <w:rsid w:val="00965663"/>
    <w:rsid w:val="00981C06"/>
    <w:rsid w:val="009D7043"/>
    <w:rsid w:val="009F5C2F"/>
    <w:rsid w:val="00A21382"/>
    <w:rsid w:val="00A51FBA"/>
    <w:rsid w:val="00AE4255"/>
    <w:rsid w:val="00AF015F"/>
    <w:rsid w:val="00B10A38"/>
    <w:rsid w:val="00B45EB2"/>
    <w:rsid w:val="00B8331F"/>
    <w:rsid w:val="00BE425A"/>
    <w:rsid w:val="00C35D85"/>
    <w:rsid w:val="00C534DF"/>
    <w:rsid w:val="00C91441"/>
    <w:rsid w:val="00CA08B1"/>
    <w:rsid w:val="00CE346B"/>
    <w:rsid w:val="00CF36E3"/>
    <w:rsid w:val="00D02FE6"/>
    <w:rsid w:val="00D25AE1"/>
    <w:rsid w:val="00D400A7"/>
    <w:rsid w:val="00D71D99"/>
    <w:rsid w:val="00D754F2"/>
    <w:rsid w:val="00D930AE"/>
    <w:rsid w:val="00DB41C0"/>
    <w:rsid w:val="00DC4DB6"/>
    <w:rsid w:val="00E55200"/>
    <w:rsid w:val="00E55765"/>
    <w:rsid w:val="00E67886"/>
    <w:rsid w:val="00E761A6"/>
    <w:rsid w:val="00E81D6C"/>
    <w:rsid w:val="00E85C8D"/>
    <w:rsid w:val="00EB5F47"/>
    <w:rsid w:val="00ED3D88"/>
    <w:rsid w:val="00ED4AD8"/>
    <w:rsid w:val="00EF4180"/>
    <w:rsid w:val="00F0059A"/>
    <w:rsid w:val="00F60D44"/>
    <w:rsid w:val="00FA048C"/>
    <w:rsid w:val="00FA29D6"/>
    <w:rsid w:val="00FB315A"/>
    <w:rsid w:val="00FB7BA4"/>
    <w:rsid w:val="00FC543D"/>
    <w:rsid w:val="00FD42EF"/>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EE1E9"/>
  <w15:docId w15:val="{1F6FAC69-0B8D-4A9F-B8C5-77FBD95D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F124F"/>
    <w:rPr>
      <w:rFonts w:ascii="Tahoma" w:hAnsi="Tahoma" w:cs="Tahoma"/>
      <w:sz w:val="16"/>
      <w:szCs w:val="16"/>
    </w:rPr>
  </w:style>
  <w:style w:type="character" w:customStyle="1" w:styleId="BallontekstChar">
    <w:name w:val="Ballontekst Char"/>
    <w:basedOn w:val="Standaardalinea-lettertype"/>
    <w:link w:val="Ballontekst"/>
    <w:rsid w:val="004F124F"/>
    <w:rPr>
      <w:rFonts w:ascii="Tahoma" w:hAnsi="Tahoma" w:cs="Tahoma"/>
      <w:sz w:val="16"/>
      <w:szCs w:val="16"/>
      <w:lang w:val="nl-NL" w:eastAsia="nl-NL"/>
    </w:rPr>
  </w:style>
  <w:style w:type="paragraph" w:styleId="Lijstalinea">
    <w:name w:val="List Paragraph"/>
    <w:basedOn w:val="Standaard"/>
    <w:uiPriority w:val="34"/>
    <w:qFormat/>
    <w:rsid w:val="00C35D85"/>
    <w:pPr>
      <w:ind w:left="720"/>
      <w:contextualSpacing/>
    </w:pPr>
  </w:style>
  <w:style w:type="paragraph" w:customStyle="1" w:styleId="Tekst">
    <w:name w:val="Tekst"/>
    <w:basedOn w:val="Standaard"/>
    <w:rsid w:val="00320BCE"/>
    <w:rPr>
      <w:rFonts w:ascii="Arial" w:hAnsi="Arial"/>
      <w:szCs w:val="20"/>
      <w:lang w:val="nl-BE" w:eastAsia="en-US"/>
    </w:rPr>
  </w:style>
  <w:style w:type="paragraph" w:styleId="Koptekst">
    <w:name w:val="header"/>
    <w:basedOn w:val="Standaard"/>
    <w:link w:val="KoptekstChar"/>
    <w:unhideWhenUsed/>
    <w:rsid w:val="00E67886"/>
    <w:pPr>
      <w:tabs>
        <w:tab w:val="center" w:pos="4536"/>
        <w:tab w:val="right" w:pos="9072"/>
      </w:tabs>
    </w:pPr>
  </w:style>
  <w:style w:type="character" w:customStyle="1" w:styleId="KoptekstChar">
    <w:name w:val="Koptekst Char"/>
    <w:basedOn w:val="Standaardalinea-lettertype"/>
    <w:link w:val="Koptekst"/>
    <w:rsid w:val="00E67886"/>
    <w:rPr>
      <w:sz w:val="22"/>
      <w:szCs w:val="24"/>
      <w:lang w:val="nl-NL" w:eastAsia="nl-NL"/>
    </w:rPr>
  </w:style>
  <w:style w:type="character" w:customStyle="1" w:styleId="NummeringChar">
    <w:name w:val="Nummering Char"/>
    <w:link w:val="Nummering"/>
    <w:locked/>
    <w:rsid w:val="00017B39"/>
    <w:rPr>
      <w:rFonts w:ascii="Verdana" w:hAnsi="Verdana"/>
      <w:szCs w:val="24"/>
      <w:lang w:val="en-US" w:eastAsia="nl-NL"/>
    </w:rPr>
  </w:style>
  <w:style w:type="paragraph" w:customStyle="1" w:styleId="Nummering">
    <w:name w:val="Nummering"/>
    <w:basedOn w:val="Lijstalinea"/>
    <w:link w:val="NummeringChar"/>
    <w:qFormat/>
    <w:rsid w:val="00017B39"/>
    <w:pPr>
      <w:numPr>
        <w:numId w:val="8"/>
      </w:numPr>
      <w:spacing w:after="120"/>
      <w:contextualSpacing w:val="0"/>
      <w:jc w:val="both"/>
    </w:pPr>
    <w:rPr>
      <w:rFonts w:ascii="Verdana" w:hAnsi="Verdana"/>
      <w:sz w:val="20"/>
      <w:lang w:val="en-US"/>
    </w:rPr>
  </w:style>
  <w:style w:type="character" w:styleId="Hyperlink">
    <w:name w:val="Hyperlink"/>
    <w:basedOn w:val="Standaardalinea-lettertype"/>
    <w:unhideWhenUsed/>
    <w:rsid w:val="00100279"/>
    <w:rPr>
      <w:color w:val="0000FF" w:themeColor="hyperlink"/>
      <w:u w:val="single"/>
    </w:rPr>
  </w:style>
  <w:style w:type="character" w:styleId="Onopgelostemelding">
    <w:name w:val="Unresolved Mention"/>
    <w:basedOn w:val="Standaardalinea-lettertype"/>
    <w:uiPriority w:val="99"/>
    <w:semiHidden/>
    <w:unhideWhenUsed/>
    <w:rsid w:val="0010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503">
      <w:bodyDiv w:val="1"/>
      <w:marLeft w:val="0"/>
      <w:marRight w:val="0"/>
      <w:marTop w:val="0"/>
      <w:marBottom w:val="0"/>
      <w:divBdr>
        <w:top w:val="none" w:sz="0" w:space="0" w:color="auto"/>
        <w:left w:val="none" w:sz="0" w:space="0" w:color="auto"/>
        <w:bottom w:val="none" w:sz="0" w:space="0" w:color="auto"/>
        <w:right w:val="none" w:sz="0" w:space="0" w:color="auto"/>
      </w:divBdr>
    </w:div>
    <w:div w:id="421873852">
      <w:bodyDiv w:val="1"/>
      <w:marLeft w:val="0"/>
      <w:marRight w:val="0"/>
      <w:marTop w:val="0"/>
      <w:marBottom w:val="0"/>
      <w:divBdr>
        <w:top w:val="none" w:sz="0" w:space="0" w:color="auto"/>
        <w:left w:val="none" w:sz="0" w:space="0" w:color="auto"/>
        <w:bottom w:val="none" w:sz="0" w:space="0" w:color="auto"/>
        <w:right w:val="none" w:sz="0" w:space="0" w:color="auto"/>
      </w:divBdr>
    </w:div>
    <w:div w:id="457260939">
      <w:bodyDiv w:val="1"/>
      <w:marLeft w:val="0"/>
      <w:marRight w:val="0"/>
      <w:marTop w:val="0"/>
      <w:marBottom w:val="0"/>
      <w:divBdr>
        <w:top w:val="none" w:sz="0" w:space="0" w:color="auto"/>
        <w:left w:val="none" w:sz="0" w:space="0" w:color="auto"/>
        <w:bottom w:val="none" w:sz="0" w:space="0" w:color="auto"/>
        <w:right w:val="none" w:sz="0" w:space="0" w:color="auto"/>
      </w:divBdr>
    </w:div>
    <w:div w:id="649292542">
      <w:bodyDiv w:val="1"/>
      <w:marLeft w:val="0"/>
      <w:marRight w:val="0"/>
      <w:marTop w:val="0"/>
      <w:marBottom w:val="0"/>
      <w:divBdr>
        <w:top w:val="none" w:sz="0" w:space="0" w:color="auto"/>
        <w:left w:val="none" w:sz="0" w:space="0" w:color="auto"/>
        <w:bottom w:val="none" w:sz="0" w:space="0" w:color="auto"/>
        <w:right w:val="none" w:sz="0" w:space="0" w:color="auto"/>
      </w:divBdr>
    </w:div>
    <w:div w:id="780537567">
      <w:bodyDiv w:val="1"/>
      <w:marLeft w:val="0"/>
      <w:marRight w:val="0"/>
      <w:marTop w:val="0"/>
      <w:marBottom w:val="0"/>
      <w:divBdr>
        <w:top w:val="none" w:sz="0" w:space="0" w:color="auto"/>
        <w:left w:val="none" w:sz="0" w:space="0" w:color="auto"/>
        <w:bottom w:val="none" w:sz="0" w:space="0" w:color="auto"/>
        <w:right w:val="none" w:sz="0" w:space="0" w:color="auto"/>
      </w:divBdr>
    </w:div>
    <w:div w:id="874004298">
      <w:bodyDiv w:val="1"/>
      <w:marLeft w:val="0"/>
      <w:marRight w:val="0"/>
      <w:marTop w:val="0"/>
      <w:marBottom w:val="0"/>
      <w:divBdr>
        <w:top w:val="none" w:sz="0" w:space="0" w:color="auto"/>
        <w:left w:val="none" w:sz="0" w:space="0" w:color="auto"/>
        <w:bottom w:val="none" w:sz="0" w:space="0" w:color="auto"/>
        <w:right w:val="none" w:sz="0" w:space="0" w:color="auto"/>
      </w:divBdr>
    </w:div>
    <w:div w:id="935986488">
      <w:bodyDiv w:val="1"/>
      <w:marLeft w:val="0"/>
      <w:marRight w:val="0"/>
      <w:marTop w:val="0"/>
      <w:marBottom w:val="0"/>
      <w:divBdr>
        <w:top w:val="none" w:sz="0" w:space="0" w:color="auto"/>
        <w:left w:val="none" w:sz="0" w:space="0" w:color="auto"/>
        <w:bottom w:val="none" w:sz="0" w:space="0" w:color="auto"/>
        <w:right w:val="none" w:sz="0" w:space="0" w:color="auto"/>
      </w:divBdr>
    </w:div>
    <w:div w:id="1037781882">
      <w:bodyDiv w:val="1"/>
      <w:marLeft w:val="0"/>
      <w:marRight w:val="0"/>
      <w:marTop w:val="0"/>
      <w:marBottom w:val="0"/>
      <w:divBdr>
        <w:top w:val="none" w:sz="0" w:space="0" w:color="auto"/>
        <w:left w:val="none" w:sz="0" w:space="0" w:color="auto"/>
        <w:bottom w:val="none" w:sz="0" w:space="0" w:color="auto"/>
        <w:right w:val="none" w:sz="0" w:space="0" w:color="auto"/>
      </w:divBdr>
    </w:div>
    <w:div w:id="1107390886">
      <w:bodyDiv w:val="1"/>
      <w:marLeft w:val="0"/>
      <w:marRight w:val="0"/>
      <w:marTop w:val="0"/>
      <w:marBottom w:val="0"/>
      <w:divBdr>
        <w:top w:val="none" w:sz="0" w:space="0" w:color="auto"/>
        <w:left w:val="none" w:sz="0" w:space="0" w:color="auto"/>
        <w:bottom w:val="none" w:sz="0" w:space="0" w:color="auto"/>
        <w:right w:val="none" w:sz="0" w:space="0" w:color="auto"/>
      </w:divBdr>
    </w:div>
    <w:div w:id="1131825727">
      <w:bodyDiv w:val="1"/>
      <w:marLeft w:val="0"/>
      <w:marRight w:val="0"/>
      <w:marTop w:val="0"/>
      <w:marBottom w:val="0"/>
      <w:divBdr>
        <w:top w:val="none" w:sz="0" w:space="0" w:color="auto"/>
        <w:left w:val="none" w:sz="0" w:space="0" w:color="auto"/>
        <w:bottom w:val="none" w:sz="0" w:space="0" w:color="auto"/>
        <w:right w:val="none" w:sz="0" w:space="0" w:color="auto"/>
      </w:divBdr>
    </w:div>
    <w:div w:id="1620531778">
      <w:bodyDiv w:val="1"/>
      <w:marLeft w:val="0"/>
      <w:marRight w:val="0"/>
      <w:marTop w:val="0"/>
      <w:marBottom w:val="0"/>
      <w:divBdr>
        <w:top w:val="none" w:sz="0" w:space="0" w:color="auto"/>
        <w:left w:val="none" w:sz="0" w:space="0" w:color="auto"/>
        <w:bottom w:val="none" w:sz="0" w:space="0" w:color="auto"/>
        <w:right w:val="none" w:sz="0" w:space="0" w:color="auto"/>
      </w:divBdr>
    </w:div>
    <w:div w:id="1684044060">
      <w:bodyDiv w:val="1"/>
      <w:marLeft w:val="0"/>
      <w:marRight w:val="0"/>
      <w:marTop w:val="0"/>
      <w:marBottom w:val="0"/>
      <w:divBdr>
        <w:top w:val="none" w:sz="0" w:space="0" w:color="auto"/>
        <w:left w:val="none" w:sz="0" w:space="0" w:color="auto"/>
        <w:bottom w:val="none" w:sz="0" w:space="0" w:color="auto"/>
        <w:right w:val="none" w:sz="0" w:space="0" w:color="auto"/>
      </w:divBdr>
    </w:div>
    <w:div w:id="1737048987">
      <w:bodyDiv w:val="1"/>
      <w:marLeft w:val="0"/>
      <w:marRight w:val="0"/>
      <w:marTop w:val="0"/>
      <w:marBottom w:val="0"/>
      <w:divBdr>
        <w:top w:val="none" w:sz="0" w:space="0" w:color="auto"/>
        <w:left w:val="none" w:sz="0" w:space="0" w:color="auto"/>
        <w:bottom w:val="none" w:sz="0" w:space="0" w:color="auto"/>
        <w:right w:val="none" w:sz="0" w:space="0" w:color="auto"/>
      </w:divBdr>
    </w:div>
    <w:div w:id="1763180674">
      <w:bodyDiv w:val="1"/>
      <w:marLeft w:val="0"/>
      <w:marRight w:val="0"/>
      <w:marTop w:val="0"/>
      <w:marBottom w:val="0"/>
      <w:divBdr>
        <w:top w:val="none" w:sz="0" w:space="0" w:color="auto"/>
        <w:left w:val="none" w:sz="0" w:space="0" w:color="auto"/>
        <w:bottom w:val="none" w:sz="0" w:space="0" w:color="auto"/>
        <w:right w:val="none" w:sz="0" w:space="0" w:color="auto"/>
      </w:divBdr>
    </w:div>
    <w:div w:id="1821077279">
      <w:bodyDiv w:val="1"/>
      <w:marLeft w:val="0"/>
      <w:marRight w:val="0"/>
      <w:marTop w:val="0"/>
      <w:marBottom w:val="0"/>
      <w:divBdr>
        <w:top w:val="none" w:sz="0" w:space="0" w:color="auto"/>
        <w:left w:val="none" w:sz="0" w:space="0" w:color="auto"/>
        <w:bottom w:val="none" w:sz="0" w:space="0" w:color="auto"/>
        <w:right w:val="none" w:sz="0" w:space="0" w:color="auto"/>
      </w:divBdr>
    </w:div>
    <w:div w:id="18335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laamsparlement.be/link?id=1651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ntegraalwaterbeleid.be/nl/beleidsinstrumenten/signaalgebieden/geoloket-signaalgebied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npa\Downloads\Min_Demir_Sjabloon_AntwoordSchriftelijkeVraag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203D5-3D9C-4189-8036-9029E1846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03F3E-7E3E-458E-8564-A1E313CCAB83}">
  <ds:schemaRefs>
    <ds:schemaRef ds:uri="http://schemas.microsoft.com/sharepoint/v3/contenttype/forms"/>
  </ds:schemaRefs>
</ds:datastoreItem>
</file>

<file path=customXml/itemProps3.xml><?xml version="1.0" encoding="utf-8"?>
<ds:datastoreItem xmlns:ds="http://schemas.openxmlformats.org/officeDocument/2006/customXml" ds:itemID="{7B85D6CA-265C-4DB3-8437-B461DDAEDBFC}">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customXml/itemProps4.xml><?xml version="1.0" encoding="utf-8"?>
<ds:datastoreItem xmlns:ds="http://schemas.openxmlformats.org/officeDocument/2006/customXml" ds:itemID="{73969C15-2BF2-7B4A-9760-4228B485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Min_Demir_Sjabloon_AntwoordSchriftelijkeVraag2</Template>
  <TotalTime>0</TotalTime>
  <Pages>2</Pages>
  <Words>566</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Brems, Wouter</dc:creator>
  <cp:lastModifiedBy>Annie Van Bree</cp:lastModifiedBy>
  <cp:revision>2</cp:revision>
  <cp:lastPrinted>2014-08-26T13:40:00Z</cp:lastPrinted>
  <dcterms:created xsi:type="dcterms:W3CDTF">2023-03-01T08:17:00Z</dcterms:created>
  <dcterms:modified xsi:type="dcterms:W3CDTF">2023-03-01T08:17:00Z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MediaServiceImageTags">
    <vt:lpwstr/>
  </property>
</Properties>
</file>